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heme="majorEastAsia" w:hAnsi="Times New Roman" w:cs="Times New Roman"/>
          <w:caps/>
          <w:lang w:val="tr-TR" w:eastAsia="en-US"/>
        </w:rPr>
        <w:id w:val="-1902903969"/>
        <w:docPartObj>
          <w:docPartGallery w:val="Cover Pages"/>
          <w:docPartUnique/>
        </w:docPartObj>
      </w:sdtPr>
      <w:sdtEndPr>
        <w:rPr>
          <w:rFonts w:eastAsiaTheme="minorHAnsi"/>
          <w:caps w:val="0"/>
        </w:rPr>
      </w:sdtEndPr>
      <w:sdtContent>
        <w:tbl>
          <w:tblPr>
            <w:tblW w:w="5000" w:type="pct"/>
            <w:tblLook w:val="04A0" w:firstRow="1" w:lastRow="0" w:firstColumn="1" w:lastColumn="0" w:noHBand="0" w:noVBand="1"/>
          </w:tblPr>
          <w:tblGrid>
            <w:gridCol w:w="9356"/>
          </w:tblGrid>
          <w:tr w:rsidR="006F45F9" w:rsidRPr="00751208" w:rsidTr="00255558">
            <w:trPr>
              <w:trHeight w:val="2880"/>
            </w:trPr>
            <w:sdt>
              <w:sdtPr>
                <w:rPr>
                  <w:rFonts w:ascii="Times New Roman" w:eastAsiaTheme="majorEastAsia" w:hAnsi="Times New Roman" w:cs="Times New Roman"/>
                  <w:caps/>
                  <w:lang w:val="tr-TR" w:eastAsia="en-US"/>
                </w:rPr>
                <w:alias w:val="Company"/>
                <w:id w:val="15524243"/>
                <w:placeholder>
                  <w:docPart w:val="03DC889673AF42E29B6BD23A8EFBEE66"/>
                </w:placeholder>
                <w:dataBinding w:prefixMappings="xmlns:ns0='http://schemas.openxmlformats.org/officeDocument/2006/extended-properties'" w:xpath="/ns0:Properties[1]/ns0:Company[1]" w:storeItemID="{6668398D-A668-4E3E-A5EB-62B293D839F1}"/>
                <w:text/>
              </w:sdtPr>
              <w:sdtEndPr>
                <w:rPr>
                  <w:sz w:val="38"/>
                  <w:lang w:val="en-US" w:eastAsia="ja-JP"/>
                </w:rPr>
              </w:sdtEndPr>
              <w:sdtContent>
                <w:tc>
                  <w:tcPr>
                    <w:tcW w:w="5000" w:type="pct"/>
                  </w:tcPr>
                  <w:p w:rsidR="006F45F9" w:rsidRPr="00751208" w:rsidRDefault="00C23CEC" w:rsidP="00ED19C8">
                    <w:pPr>
                      <w:pStyle w:val="NoSpacing"/>
                      <w:jc w:val="center"/>
                      <w:rPr>
                        <w:rFonts w:ascii="Times New Roman" w:eastAsiaTheme="majorEastAsia" w:hAnsi="Times New Roman" w:cs="Times New Roman"/>
                        <w:caps/>
                      </w:rPr>
                    </w:pPr>
                    <w:r>
                      <w:rPr>
                        <w:rFonts w:ascii="Times New Roman" w:eastAsiaTheme="majorEastAsia" w:hAnsi="Times New Roman" w:cs="Times New Roman"/>
                        <w:caps/>
                        <w:lang w:val="tr-TR" w:eastAsia="en-US"/>
                      </w:rPr>
                      <w:t>SERMAYE PİYASASI KURULU</w:t>
                    </w:r>
                  </w:p>
                </w:tc>
              </w:sdtContent>
            </w:sdt>
          </w:tr>
          <w:tr w:rsidR="006F45F9" w:rsidRPr="00751208" w:rsidTr="00255558">
            <w:trPr>
              <w:trHeight w:val="1440"/>
            </w:trPr>
            <w:sdt>
              <w:sdtPr>
                <w:rPr>
                  <w:rFonts w:ascii="Times New Roman" w:eastAsiaTheme="majorEastAsia" w:hAnsi="Times New Roman" w:cs="Times New Roman"/>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5B9BD5" w:themeColor="accent1"/>
                    </w:tcBorders>
                    <w:vAlign w:val="center"/>
                  </w:tcPr>
                  <w:p w:rsidR="006F45F9" w:rsidRPr="00751208" w:rsidRDefault="00566FD3" w:rsidP="00F45F60">
                    <w:pPr>
                      <w:pStyle w:val="NoSpacing"/>
                      <w:jc w:val="center"/>
                      <w:rPr>
                        <w:rFonts w:ascii="Times New Roman" w:eastAsiaTheme="majorEastAsia" w:hAnsi="Times New Roman" w:cs="Times New Roman"/>
                        <w:sz w:val="80"/>
                        <w:szCs w:val="80"/>
                      </w:rPr>
                    </w:pPr>
                    <w:r>
                      <w:rPr>
                        <w:rFonts w:ascii="Times New Roman" w:eastAsiaTheme="majorEastAsia" w:hAnsi="Times New Roman" w:cs="Times New Roman"/>
                        <w:sz w:val="80"/>
                        <w:szCs w:val="80"/>
                        <w:lang w:val="tr-TR"/>
                      </w:rPr>
                      <w:t>Yatırım Fonlarına İlişkin Rehber</w:t>
                    </w:r>
                  </w:p>
                </w:tc>
              </w:sdtContent>
            </w:sdt>
          </w:tr>
          <w:tr w:rsidR="006F45F9" w:rsidRPr="00751208" w:rsidTr="00255558">
            <w:trPr>
              <w:trHeight w:val="720"/>
            </w:trPr>
            <w:tc>
              <w:tcPr>
                <w:tcW w:w="5000" w:type="pct"/>
                <w:tcBorders>
                  <w:top w:val="single" w:sz="4" w:space="0" w:color="5B9BD5" w:themeColor="accent1"/>
                </w:tcBorders>
                <w:vAlign w:val="center"/>
              </w:tcPr>
              <w:p w:rsidR="006F45F9" w:rsidRPr="00751208" w:rsidRDefault="006F45F9" w:rsidP="00ED19C8">
                <w:pPr>
                  <w:pStyle w:val="NoSpacing"/>
                  <w:jc w:val="center"/>
                  <w:rPr>
                    <w:rFonts w:ascii="Times New Roman" w:eastAsiaTheme="majorEastAsia" w:hAnsi="Times New Roman" w:cs="Times New Roman"/>
                    <w:sz w:val="44"/>
                    <w:szCs w:val="44"/>
                  </w:rPr>
                </w:pPr>
              </w:p>
            </w:tc>
          </w:tr>
          <w:tr w:rsidR="006F45F9" w:rsidRPr="00751208" w:rsidTr="00255558">
            <w:trPr>
              <w:trHeight w:val="360"/>
            </w:trPr>
            <w:tc>
              <w:tcPr>
                <w:tcW w:w="5000" w:type="pct"/>
                <w:vAlign w:val="center"/>
              </w:tcPr>
              <w:p w:rsidR="006F45F9" w:rsidRPr="00751208" w:rsidRDefault="006F45F9">
                <w:pPr>
                  <w:pStyle w:val="NoSpacing"/>
                  <w:jc w:val="center"/>
                  <w:rPr>
                    <w:rFonts w:ascii="Times New Roman" w:hAnsi="Times New Roman" w:cs="Times New Roman"/>
                  </w:rPr>
                </w:pPr>
              </w:p>
            </w:tc>
          </w:tr>
          <w:tr w:rsidR="006F45F9" w:rsidRPr="00751208" w:rsidTr="00255558">
            <w:trPr>
              <w:trHeight w:val="360"/>
            </w:trPr>
            <w:tc>
              <w:tcPr>
                <w:tcW w:w="5000" w:type="pct"/>
                <w:vAlign w:val="center"/>
              </w:tcPr>
              <w:p w:rsidR="006F45F9" w:rsidRPr="00751208" w:rsidRDefault="006F45F9" w:rsidP="00ED19C8">
                <w:pPr>
                  <w:pStyle w:val="NoSpacing"/>
                  <w:jc w:val="center"/>
                  <w:rPr>
                    <w:rFonts w:ascii="Times New Roman" w:hAnsi="Times New Roman" w:cs="Times New Roman"/>
                    <w:b/>
                    <w:bCs/>
                  </w:rPr>
                </w:pPr>
              </w:p>
            </w:tc>
          </w:tr>
          <w:tr w:rsidR="006F45F9" w:rsidRPr="00751208" w:rsidTr="00255558">
            <w:trPr>
              <w:trHeight w:val="360"/>
            </w:trPr>
            <w:tc>
              <w:tcPr>
                <w:tcW w:w="5000" w:type="pct"/>
                <w:vAlign w:val="center"/>
              </w:tcPr>
              <w:p w:rsidR="006F45F9" w:rsidRPr="00751208" w:rsidRDefault="006F45F9" w:rsidP="00ED19C8">
                <w:pPr>
                  <w:pStyle w:val="NoSpacing"/>
                  <w:jc w:val="center"/>
                  <w:rPr>
                    <w:rFonts w:ascii="Times New Roman" w:hAnsi="Times New Roman" w:cs="Times New Roman"/>
                    <w:b/>
                    <w:bCs/>
                  </w:rPr>
                </w:pPr>
              </w:p>
            </w:tc>
          </w:tr>
        </w:tbl>
        <w:p w:rsidR="006F45F9" w:rsidRPr="00751208" w:rsidRDefault="006F45F9">
          <w:pPr>
            <w:rPr>
              <w:rFonts w:ascii="Times New Roman" w:hAnsi="Times New Roman" w:cs="Times New Roman"/>
            </w:rPr>
          </w:pPr>
        </w:p>
        <w:p w:rsidR="006F45F9" w:rsidRPr="00751208" w:rsidRDefault="006F45F9">
          <w:pPr>
            <w:rPr>
              <w:rFonts w:ascii="Times New Roman" w:hAnsi="Times New Roman" w:cs="Times New Roman"/>
            </w:rPr>
          </w:pPr>
        </w:p>
        <w:tbl>
          <w:tblPr>
            <w:tblpPr w:leftFromText="187" w:rightFromText="187" w:horzAnchor="margin" w:tblpXSpec="center" w:tblpYSpec="bottom"/>
            <w:tblW w:w="5000" w:type="pct"/>
            <w:tblLook w:val="04A0" w:firstRow="1" w:lastRow="0" w:firstColumn="1" w:lastColumn="0" w:noHBand="0" w:noVBand="1"/>
          </w:tblPr>
          <w:tblGrid>
            <w:gridCol w:w="9356"/>
          </w:tblGrid>
          <w:tr w:rsidR="006F45F9" w:rsidRPr="00751208">
            <w:tc>
              <w:tcPr>
                <w:tcW w:w="5000" w:type="pct"/>
              </w:tcPr>
              <w:p w:rsidR="006F45F9" w:rsidRPr="00751208" w:rsidRDefault="006F45F9">
                <w:pPr>
                  <w:pStyle w:val="NoSpacing"/>
                  <w:rPr>
                    <w:rFonts w:ascii="Times New Roman" w:hAnsi="Times New Roman" w:cs="Times New Roman"/>
                  </w:rPr>
                </w:pPr>
              </w:p>
            </w:tc>
          </w:tr>
        </w:tbl>
        <w:p w:rsidR="006F45F9" w:rsidRPr="00751208" w:rsidRDefault="006F45F9">
          <w:pPr>
            <w:rPr>
              <w:rFonts w:ascii="Times New Roman" w:hAnsi="Times New Roman" w:cs="Times New Roman"/>
            </w:rPr>
          </w:pPr>
        </w:p>
        <w:p w:rsidR="006F45F9" w:rsidRPr="00751208" w:rsidRDefault="006F45F9">
          <w:pPr>
            <w:rPr>
              <w:rFonts w:ascii="Times New Roman" w:eastAsiaTheme="majorEastAsia" w:hAnsi="Times New Roman" w:cs="Times New Roman"/>
              <w:b/>
              <w:lang w:val="en-US"/>
            </w:rPr>
          </w:pPr>
          <w:r w:rsidRPr="00751208">
            <w:rPr>
              <w:rFonts w:ascii="Times New Roman" w:hAnsi="Times New Roman" w:cs="Times New Roman"/>
            </w:rPr>
            <w:br w:type="page"/>
          </w:r>
        </w:p>
      </w:sdtContent>
    </w:sdt>
    <w:sdt>
      <w:sdtPr>
        <w:rPr>
          <w:rFonts w:asciiTheme="minorHAnsi" w:eastAsiaTheme="minorHAnsi" w:hAnsiTheme="minorHAnsi" w:cs="Times New Roman"/>
          <w:b w:val="0"/>
          <w:sz w:val="22"/>
          <w:szCs w:val="24"/>
          <w:lang w:val="tr-TR"/>
        </w:rPr>
        <w:id w:val="-746273236"/>
        <w:docPartObj>
          <w:docPartGallery w:val="Table of Contents"/>
          <w:docPartUnique/>
        </w:docPartObj>
      </w:sdtPr>
      <w:sdtEndPr>
        <w:rPr>
          <w:bCs/>
          <w:noProof/>
          <w:szCs w:val="22"/>
        </w:rPr>
      </w:sdtEndPr>
      <w:sdtContent>
        <w:p w:rsidR="00960459" w:rsidRPr="00DB33B6" w:rsidRDefault="008F2918" w:rsidP="00C62275">
          <w:pPr>
            <w:pStyle w:val="TOCHeading"/>
            <w:spacing w:before="0" w:line="240" w:lineRule="auto"/>
            <w:jc w:val="center"/>
            <w:rPr>
              <w:rFonts w:cs="Times New Roman"/>
              <w:szCs w:val="24"/>
            </w:rPr>
          </w:pPr>
          <w:r w:rsidRPr="00DB33B6">
            <w:rPr>
              <w:rFonts w:cs="Times New Roman"/>
              <w:szCs w:val="24"/>
            </w:rPr>
            <w:t>İÇİNDEKİLER</w:t>
          </w:r>
        </w:p>
        <w:p w:rsidR="00077E82" w:rsidRDefault="00600341">
          <w:pPr>
            <w:pStyle w:val="TOC1"/>
            <w:rPr>
              <w:rFonts w:eastAsiaTheme="minorEastAsia"/>
              <w:noProof/>
              <w:lang w:eastAsia="tr-TR"/>
            </w:rPr>
          </w:pPr>
          <w:r w:rsidRPr="00313BA3">
            <w:rPr>
              <w:rFonts w:ascii="Times New Roman" w:hAnsi="Times New Roman" w:cs="Times New Roman"/>
            </w:rPr>
            <w:fldChar w:fldCharType="begin"/>
          </w:r>
          <w:r w:rsidR="00960459" w:rsidRPr="00313BA3">
            <w:rPr>
              <w:rFonts w:ascii="Times New Roman" w:hAnsi="Times New Roman" w:cs="Times New Roman"/>
            </w:rPr>
            <w:instrText xml:space="preserve"> TOC \o "1-3" \h \z \u </w:instrText>
          </w:r>
          <w:r w:rsidRPr="00313BA3">
            <w:rPr>
              <w:rFonts w:ascii="Times New Roman" w:hAnsi="Times New Roman" w:cs="Times New Roman"/>
            </w:rPr>
            <w:fldChar w:fldCharType="separate"/>
          </w:r>
          <w:hyperlink w:anchor="_Toc130312660" w:history="1">
            <w:r w:rsidR="00077E82" w:rsidRPr="00FA7D9A">
              <w:rPr>
                <w:rStyle w:val="Hyperlink"/>
                <w:rFonts w:eastAsia="Times New Roman"/>
                <w:noProof/>
                <w:lang w:eastAsia="tr-TR"/>
              </w:rPr>
              <w:t>TANIMLAR</w:t>
            </w:r>
            <w:r w:rsidR="00077E82">
              <w:rPr>
                <w:noProof/>
                <w:webHidden/>
              </w:rPr>
              <w:tab/>
            </w:r>
            <w:r w:rsidR="00077E82">
              <w:rPr>
                <w:noProof/>
                <w:webHidden/>
              </w:rPr>
              <w:fldChar w:fldCharType="begin"/>
            </w:r>
            <w:r w:rsidR="00077E82">
              <w:rPr>
                <w:noProof/>
                <w:webHidden/>
              </w:rPr>
              <w:instrText xml:space="preserve"> PAGEREF _Toc130312660 \h </w:instrText>
            </w:r>
            <w:r w:rsidR="00077E82">
              <w:rPr>
                <w:noProof/>
                <w:webHidden/>
              </w:rPr>
            </w:r>
            <w:r w:rsidR="00077E82">
              <w:rPr>
                <w:noProof/>
                <w:webHidden/>
              </w:rPr>
              <w:fldChar w:fldCharType="separate"/>
            </w:r>
            <w:r w:rsidR="00077E82">
              <w:rPr>
                <w:noProof/>
                <w:webHidden/>
              </w:rPr>
              <w:t>5</w:t>
            </w:r>
            <w:r w:rsidR="00077E82">
              <w:rPr>
                <w:noProof/>
                <w:webHidden/>
              </w:rPr>
              <w:fldChar w:fldCharType="end"/>
            </w:r>
          </w:hyperlink>
        </w:p>
        <w:p w:rsidR="00077E82" w:rsidRDefault="00077E82">
          <w:pPr>
            <w:pStyle w:val="TOC1"/>
            <w:rPr>
              <w:rFonts w:eastAsiaTheme="minorEastAsia"/>
              <w:noProof/>
              <w:lang w:eastAsia="tr-TR"/>
            </w:rPr>
          </w:pPr>
          <w:hyperlink w:anchor="_Toc130312661" w:history="1">
            <w:r w:rsidRPr="00FA7D9A">
              <w:rPr>
                <w:rStyle w:val="Hyperlink"/>
                <w:noProof/>
              </w:rPr>
              <w:t>1.Fon Türlerine İlişkin Esaslar</w:t>
            </w:r>
            <w:r>
              <w:rPr>
                <w:noProof/>
                <w:webHidden/>
              </w:rPr>
              <w:tab/>
            </w:r>
            <w:r>
              <w:rPr>
                <w:noProof/>
                <w:webHidden/>
              </w:rPr>
              <w:fldChar w:fldCharType="begin"/>
            </w:r>
            <w:r>
              <w:rPr>
                <w:noProof/>
                <w:webHidden/>
              </w:rPr>
              <w:instrText xml:space="preserve"> PAGEREF _Toc130312661 \h </w:instrText>
            </w:r>
            <w:r>
              <w:rPr>
                <w:noProof/>
                <w:webHidden/>
              </w:rPr>
            </w:r>
            <w:r>
              <w:rPr>
                <w:noProof/>
                <w:webHidden/>
              </w:rPr>
              <w:fldChar w:fldCharType="separate"/>
            </w:r>
            <w:r>
              <w:rPr>
                <w:noProof/>
                <w:webHidden/>
              </w:rPr>
              <w:t>7</w:t>
            </w:r>
            <w:r>
              <w:rPr>
                <w:noProof/>
                <w:webHidden/>
              </w:rPr>
              <w:fldChar w:fldCharType="end"/>
            </w:r>
          </w:hyperlink>
        </w:p>
        <w:p w:rsidR="00077E82" w:rsidRDefault="00077E82">
          <w:pPr>
            <w:pStyle w:val="TOC1"/>
            <w:rPr>
              <w:rFonts w:eastAsiaTheme="minorEastAsia"/>
              <w:noProof/>
              <w:lang w:eastAsia="tr-TR"/>
            </w:rPr>
          </w:pPr>
          <w:hyperlink w:anchor="_Toc130312662" w:history="1">
            <w:r w:rsidRPr="00FA7D9A">
              <w:rPr>
                <w:rStyle w:val="Hyperlink"/>
                <w:rFonts w:eastAsia="Times New Roman" w:cs="Times New Roman"/>
                <w:bCs/>
                <w:noProof/>
                <w:lang w:eastAsia="tr-TR"/>
              </w:rPr>
              <w:t xml:space="preserve">1.1. </w:t>
            </w:r>
            <w:r w:rsidRPr="00FA7D9A">
              <w:rPr>
                <w:rStyle w:val="Hyperlink"/>
                <w:noProof/>
              </w:rPr>
              <w:t xml:space="preserve">(Değişiklik: 23.05.2016 tarih ve 17/573 sayılı Kurul Kararı ile) </w:t>
            </w:r>
            <w:r w:rsidRPr="00FA7D9A">
              <w:rPr>
                <w:rStyle w:val="Hyperlink"/>
                <w:rFonts w:eastAsia="Times New Roman" w:cs="Times New Roman"/>
                <w:bCs/>
                <w:noProof/>
                <w:lang w:eastAsia="tr-TR"/>
              </w:rPr>
              <w:t>Karma Şemsiye Fon</w:t>
            </w:r>
            <w:r>
              <w:rPr>
                <w:noProof/>
                <w:webHidden/>
              </w:rPr>
              <w:tab/>
            </w:r>
            <w:r>
              <w:rPr>
                <w:noProof/>
                <w:webHidden/>
              </w:rPr>
              <w:fldChar w:fldCharType="begin"/>
            </w:r>
            <w:r>
              <w:rPr>
                <w:noProof/>
                <w:webHidden/>
              </w:rPr>
              <w:instrText xml:space="preserve"> PAGEREF _Toc130312662 \h </w:instrText>
            </w:r>
            <w:r>
              <w:rPr>
                <w:noProof/>
                <w:webHidden/>
              </w:rPr>
            </w:r>
            <w:r>
              <w:rPr>
                <w:noProof/>
                <w:webHidden/>
              </w:rPr>
              <w:fldChar w:fldCharType="separate"/>
            </w:r>
            <w:r>
              <w:rPr>
                <w:noProof/>
                <w:webHidden/>
              </w:rPr>
              <w:t>7</w:t>
            </w:r>
            <w:r>
              <w:rPr>
                <w:noProof/>
                <w:webHidden/>
              </w:rPr>
              <w:fldChar w:fldCharType="end"/>
            </w:r>
          </w:hyperlink>
        </w:p>
        <w:p w:rsidR="00077E82" w:rsidRDefault="00077E82">
          <w:pPr>
            <w:pStyle w:val="TOC2"/>
            <w:rPr>
              <w:rFonts w:eastAsiaTheme="minorEastAsia"/>
              <w:noProof/>
              <w:lang w:eastAsia="tr-TR"/>
            </w:rPr>
          </w:pPr>
          <w:hyperlink w:anchor="_Toc130312663" w:history="1">
            <w:r w:rsidRPr="00FA7D9A">
              <w:rPr>
                <w:rStyle w:val="Hyperlink"/>
                <w:rFonts w:eastAsia="Times New Roman" w:cs="Times New Roman"/>
                <w:bCs/>
                <w:noProof/>
                <w:lang w:eastAsia="tr-TR"/>
              </w:rPr>
              <w:t xml:space="preserve">1.2. </w:t>
            </w:r>
            <w:r w:rsidRPr="00FA7D9A">
              <w:rPr>
                <w:rStyle w:val="Hyperlink"/>
                <w:noProof/>
              </w:rPr>
              <w:t>(Ek: 02.10.2015 tarih ve 27/1199 sayılı Kurul Kararı ile) Aynı Türdeki Şemsiye Fona Bağlı Olarak İhraç Edilecek Fon Sayısının Belirlenmesine İlişkin Esaslar</w:t>
            </w:r>
            <w:r>
              <w:rPr>
                <w:noProof/>
                <w:webHidden/>
              </w:rPr>
              <w:tab/>
            </w:r>
            <w:r>
              <w:rPr>
                <w:noProof/>
                <w:webHidden/>
              </w:rPr>
              <w:fldChar w:fldCharType="begin"/>
            </w:r>
            <w:r>
              <w:rPr>
                <w:noProof/>
                <w:webHidden/>
              </w:rPr>
              <w:instrText xml:space="preserve"> PAGEREF _Toc130312663 \h </w:instrText>
            </w:r>
            <w:r>
              <w:rPr>
                <w:noProof/>
                <w:webHidden/>
              </w:rPr>
            </w:r>
            <w:r>
              <w:rPr>
                <w:noProof/>
                <w:webHidden/>
              </w:rPr>
              <w:fldChar w:fldCharType="separate"/>
            </w:r>
            <w:r>
              <w:rPr>
                <w:noProof/>
                <w:webHidden/>
              </w:rPr>
              <w:t>7</w:t>
            </w:r>
            <w:r>
              <w:rPr>
                <w:noProof/>
                <w:webHidden/>
              </w:rPr>
              <w:fldChar w:fldCharType="end"/>
            </w:r>
          </w:hyperlink>
        </w:p>
        <w:p w:rsidR="00077E82" w:rsidRDefault="00077E82">
          <w:pPr>
            <w:pStyle w:val="TOC2"/>
            <w:rPr>
              <w:rFonts w:eastAsiaTheme="minorEastAsia"/>
              <w:noProof/>
              <w:lang w:eastAsia="tr-TR"/>
            </w:rPr>
          </w:pPr>
          <w:hyperlink w:anchor="_Toc130312664" w:history="1">
            <w:r w:rsidRPr="00FA7D9A">
              <w:rPr>
                <w:rStyle w:val="Hyperlink"/>
                <w:rFonts w:eastAsia="Times New Roman" w:cs="Times New Roman"/>
                <w:bCs/>
                <w:noProof/>
                <w:lang w:eastAsia="tr-TR"/>
              </w:rPr>
              <w:t xml:space="preserve">1.3. </w:t>
            </w:r>
            <w:r w:rsidRPr="00FA7D9A">
              <w:rPr>
                <w:rStyle w:val="Hyperlink"/>
                <w:noProof/>
              </w:rPr>
              <w:t>(Ek: 27.01.2016 tarih ve 3/80 sayılı Kurul Kararı ile) (Değişiklik: 16.08.2018 tarih ve 38/964 sayılı Kurul Kararı ile)  Katılma Payları Belirli Kişilere Tahsisli Satılan Fonlar</w:t>
            </w:r>
            <w:r>
              <w:rPr>
                <w:noProof/>
                <w:webHidden/>
              </w:rPr>
              <w:tab/>
            </w:r>
            <w:r>
              <w:rPr>
                <w:noProof/>
                <w:webHidden/>
              </w:rPr>
              <w:fldChar w:fldCharType="begin"/>
            </w:r>
            <w:r>
              <w:rPr>
                <w:noProof/>
                <w:webHidden/>
              </w:rPr>
              <w:instrText xml:space="preserve"> PAGEREF _Toc130312664 \h </w:instrText>
            </w:r>
            <w:r>
              <w:rPr>
                <w:noProof/>
                <w:webHidden/>
              </w:rPr>
            </w:r>
            <w:r>
              <w:rPr>
                <w:noProof/>
                <w:webHidden/>
              </w:rPr>
              <w:fldChar w:fldCharType="separate"/>
            </w:r>
            <w:r>
              <w:rPr>
                <w:noProof/>
                <w:webHidden/>
              </w:rPr>
              <w:t>8</w:t>
            </w:r>
            <w:r>
              <w:rPr>
                <w:noProof/>
                <w:webHidden/>
              </w:rPr>
              <w:fldChar w:fldCharType="end"/>
            </w:r>
          </w:hyperlink>
        </w:p>
        <w:p w:rsidR="00077E82" w:rsidRDefault="00077E82">
          <w:pPr>
            <w:pStyle w:val="TOC2"/>
            <w:rPr>
              <w:rFonts w:eastAsiaTheme="minorEastAsia"/>
              <w:noProof/>
              <w:lang w:eastAsia="tr-TR"/>
            </w:rPr>
          </w:pPr>
          <w:hyperlink w:anchor="_Toc130312665" w:history="1">
            <w:r w:rsidRPr="00FA7D9A">
              <w:rPr>
                <w:rStyle w:val="Hyperlink"/>
                <w:rFonts w:eastAsia="Times New Roman" w:cs="Times New Roman"/>
                <w:bCs/>
                <w:noProof/>
                <w:lang w:eastAsia="tr-TR"/>
              </w:rPr>
              <w:t xml:space="preserve">1.4. </w:t>
            </w:r>
            <w:r w:rsidRPr="00FA7D9A">
              <w:rPr>
                <w:rStyle w:val="Hyperlink"/>
                <w:noProof/>
              </w:rPr>
              <w:t xml:space="preserve">(Ek: 23.05.2016 tarih ve 17/573 sayılı Kurul Kararı ile) </w:t>
            </w:r>
            <w:r w:rsidRPr="00FA7D9A">
              <w:rPr>
                <w:rStyle w:val="Hyperlink"/>
                <w:rFonts w:eastAsia="Times New Roman" w:cs="Times New Roman"/>
                <w:bCs/>
                <w:noProof/>
                <w:lang w:eastAsia="tr-TR"/>
              </w:rPr>
              <w:t>Endeks Fonlar</w:t>
            </w:r>
            <w:r>
              <w:rPr>
                <w:noProof/>
                <w:webHidden/>
              </w:rPr>
              <w:tab/>
            </w:r>
            <w:r>
              <w:rPr>
                <w:noProof/>
                <w:webHidden/>
              </w:rPr>
              <w:fldChar w:fldCharType="begin"/>
            </w:r>
            <w:r>
              <w:rPr>
                <w:noProof/>
                <w:webHidden/>
              </w:rPr>
              <w:instrText xml:space="preserve"> PAGEREF _Toc130312665 \h </w:instrText>
            </w:r>
            <w:r>
              <w:rPr>
                <w:noProof/>
                <w:webHidden/>
              </w:rPr>
            </w:r>
            <w:r>
              <w:rPr>
                <w:noProof/>
                <w:webHidden/>
              </w:rPr>
              <w:fldChar w:fldCharType="separate"/>
            </w:r>
            <w:r>
              <w:rPr>
                <w:noProof/>
                <w:webHidden/>
              </w:rPr>
              <w:t>10</w:t>
            </w:r>
            <w:r>
              <w:rPr>
                <w:noProof/>
                <w:webHidden/>
              </w:rPr>
              <w:fldChar w:fldCharType="end"/>
            </w:r>
          </w:hyperlink>
        </w:p>
        <w:p w:rsidR="00077E82" w:rsidRDefault="00077E82">
          <w:pPr>
            <w:pStyle w:val="TOC2"/>
            <w:rPr>
              <w:rFonts w:eastAsiaTheme="minorEastAsia"/>
              <w:noProof/>
              <w:lang w:eastAsia="tr-TR"/>
            </w:rPr>
          </w:pPr>
          <w:hyperlink w:anchor="_Toc130312666" w:history="1">
            <w:r w:rsidRPr="00FA7D9A">
              <w:rPr>
                <w:rStyle w:val="Hyperlink"/>
                <w:rFonts w:eastAsia="Times New Roman" w:cs="Times New Roman"/>
                <w:bCs/>
                <w:noProof/>
                <w:lang w:eastAsia="tr-TR"/>
              </w:rPr>
              <w:t>1.5. (Ek: 09.05.2017 tarih ve 20/688 sayılı Kurul Kararı ile) Para Piyasası Katılım Fonu ve Kısa Vadeli Kira Sertifikaları Katılım Fonu</w:t>
            </w:r>
            <w:r>
              <w:rPr>
                <w:noProof/>
                <w:webHidden/>
              </w:rPr>
              <w:tab/>
            </w:r>
            <w:r>
              <w:rPr>
                <w:noProof/>
                <w:webHidden/>
              </w:rPr>
              <w:fldChar w:fldCharType="begin"/>
            </w:r>
            <w:r>
              <w:rPr>
                <w:noProof/>
                <w:webHidden/>
              </w:rPr>
              <w:instrText xml:space="preserve"> PAGEREF _Toc130312666 \h </w:instrText>
            </w:r>
            <w:r>
              <w:rPr>
                <w:noProof/>
                <w:webHidden/>
              </w:rPr>
            </w:r>
            <w:r>
              <w:rPr>
                <w:noProof/>
                <w:webHidden/>
              </w:rPr>
              <w:fldChar w:fldCharType="separate"/>
            </w:r>
            <w:r>
              <w:rPr>
                <w:noProof/>
                <w:webHidden/>
              </w:rPr>
              <w:t>11</w:t>
            </w:r>
            <w:r>
              <w:rPr>
                <w:noProof/>
                <w:webHidden/>
              </w:rPr>
              <w:fldChar w:fldCharType="end"/>
            </w:r>
          </w:hyperlink>
        </w:p>
        <w:p w:rsidR="00077E82" w:rsidRDefault="00077E82">
          <w:pPr>
            <w:pStyle w:val="TOC2"/>
            <w:rPr>
              <w:rFonts w:eastAsiaTheme="minorEastAsia"/>
              <w:noProof/>
              <w:lang w:eastAsia="tr-TR"/>
            </w:rPr>
          </w:pPr>
          <w:hyperlink w:anchor="_Toc130312667" w:history="1">
            <w:r w:rsidRPr="00FA7D9A">
              <w:rPr>
                <w:rStyle w:val="Hyperlink"/>
                <w:rFonts w:eastAsia="Times New Roman" w:cs="Times New Roman"/>
                <w:bCs/>
                <w:noProof/>
                <w:lang w:eastAsia="tr-TR"/>
              </w:rPr>
              <w:t xml:space="preserve">1.6. </w:t>
            </w:r>
            <w:r w:rsidRPr="00FA7D9A">
              <w:rPr>
                <w:rStyle w:val="Hyperlink"/>
                <w:noProof/>
              </w:rPr>
              <w:t>(Ek: 24.09.2020 tarih ve 60/1183 sayılı Kurul Kararı ile) Unvanında Katılım İfadesi Geçen Fonlara İlişkin Esaslar</w:t>
            </w:r>
            <w:r>
              <w:rPr>
                <w:noProof/>
                <w:webHidden/>
              </w:rPr>
              <w:tab/>
            </w:r>
            <w:r>
              <w:rPr>
                <w:noProof/>
                <w:webHidden/>
              </w:rPr>
              <w:fldChar w:fldCharType="begin"/>
            </w:r>
            <w:r>
              <w:rPr>
                <w:noProof/>
                <w:webHidden/>
              </w:rPr>
              <w:instrText xml:space="preserve"> PAGEREF _Toc130312667 \h </w:instrText>
            </w:r>
            <w:r>
              <w:rPr>
                <w:noProof/>
                <w:webHidden/>
              </w:rPr>
            </w:r>
            <w:r>
              <w:rPr>
                <w:noProof/>
                <w:webHidden/>
              </w:rPr>
              <w:fldChar w:fldCharType="separate"/>
            </w:r>
            <w:r>
              <w:rPr>
                <w:noProof/>
                <w:webHidden/>
              </w:rPr>
              <w:t>11</w:t>
            </w:r>
            <w:r>
              <w:rPr>
                <w:noProof/>
                <w:webHidden/>
              </w:rPr>
              <w:fldChar w:fldCharType="end"/>
            </w:r>
          </w:hyperlink>
        </w:p>
        <w:p w:rsidR="00077E82" w:rsidRDefault="00077E82">
          <w:pPr>
            <w:pStyle w:val="TOC2"/>
            <w:rPr>
              <w:rFonts w:eastAsiaTheme="minorEastAsia"/>
              <w:noProof/>
              <w:lang w:eastAsia="tr-TR"/>
            </w:rPr>
          </w:pPr>
          <w:hyperlink w:anchor="_Toc130312668" w:history="1">
            <w:r w:rsidRPr="00FA7D9A">
              <w:rPr>
                <w:rStyle w:val="Hyperlink"/>
                <w:rFonts w:eastAsia="Times New Roman" w:cs="Times New Roman"/>
                <w:bCs/>
                <w:noProof/>
                <w:lang w:eastAsia="tr-TR"/>
              </w:rPr>
              <w:t>1.7. (Ek: 09.09.2021 tarih ve 46/1361 sayılı Kurul Kararı ile)  Sorunlu Şirketler Serbest Özel Fona İlişkin Esaslar</w:t>
            </w:r>
            <w:r>
              <w:rPr>
                <w:noProof/>
                <w:webHidden/>
              </w:rPr>
              <w:tab/>
            </w:r>
            <w:r>
              <w:rPr>
                <w:noProof/>
                <w:webHidden/>
              </w:rPr>
              <w:fldChar w:fldCharType="begin"/>
            </w:r>
            <w:r>
              <w:rPr>
                <w:noProof/>
                <w:webHidden/>
              </w:rPr>
              <w:instrText xml:space="preserve"> PAGEREF _Toc130312668 \h </w:instrText>
            </w:r>
            <w:r>
              <w:rPr>
                <w:noProof/>
                <w:webHidden/>
              </w:rPr>
            </w:r>
            <w:r>
              <w:rPr>
                <w:noProof/>
                <w:webHidden/>
              </w:rPr>
              <w:fldChar w:fldCharType="separate"/>
            </w:r>
            <w:r>
              <w:rPr>
                <w:noProof/>
                <w:webHidden/>
              </w:rPr>
              <w:t>11</w:t>
            </w:r>
            <w:r>
              <w:rPr>
                <w:noProof/>
                <w:webHidden/>
              </w:rPr>
              <w:fldChar w:fldCharType="end"/>
            </w:r>
          </w:hyperlink>
        </w:p>
        <w:p w:rsidR="00077E82" w:rsidRDefault="00077E82">
          <w:pPr>
            <w:pStyle w:val="TOC1"/>
            <w:rPr>
              <w:rFonts w:eastAsiaTheme="minorEastAsia"/>
              <w:noProof/>
              <w:lang w:eastAsia="tr-TR"/>
            </w:rPr>
          </w:pPr>
          <w:hyperlink w:anchor="_Toc130312669" w:history="1">
            <w:r w:rsidRPr="00FA7D9A">
              <w:rPr>
                <w:rStyle w:val="Hyperlink"/>
                <w:noProof/>
              </w:rPr>
              <w:t>2. Fon Unvanına İlişkin Esaslar</w:t>
            </w:r>
            <w:r>
              <w:rPr>
                <w:noProof/>
                <w:webHidden/>
              </w:rPr>
              <w:tab/>
            </w:r>
            <w:r>
              <w:rPr>
                <w:noProof/>
                <w:webHidden/>
              </w:rPr>
              <w:fldChar w:fldCharType="begin"/>
            </w:r>
            <w:r>
              <w:rPr>
                <w:noProof/>
                <w:webHidden/>
              </w:rPr>
              <w:instrText xml:space="preserve"> PAGEREF _Toc130312669 \h </w:instrText>
            </w:r>
            <w:r>
              <w:rPr>
                <w:noProof/>
                <w:webHidden/>
              </w:rPr>
            </w:r>
            <w:r>
              <w:rPr>
                <w:noProof/>
                <w:webHidden/>
              </w:rPr>
              <w:fldChar w:fldCharType="separate"/>
            </w:r>
            <w:r>
              <w:rPr>
                <w:noProof/>
                <w:webHidden/>
              </w:rPr>
              <w:t>12</w:t>
            </w:r>
            <w:r>
              <w:rPr>
                <w:noProof/>
                <w:webHidden/>
              </w:rPr>
              <w:fldChar w:fldCharType="end"/>
            </w:r>
          </w:hyperlink>
        </w:p>
        <w:p w:rsidR="00077E82" w:rsidRDefault="00077E82">
          <w:pPr>
            <w:pStyle w:val="TOC1"/>
            <w:rPr>
              <w:rFonts w:eastAsiaTheme="minorEastAsia"/>
              <w:noProof/>
              <w:lang w:eastAsia="tr-TR"/>
            </w:rPr>
          </w:pPr>
          <w:hyperlink w:anchor="_Toc130312670" w:history="1">
            <w:r w:rsidRPr="00FA7D9A">
              <w:rPr>
                <w:rStyle w:val="Hyperlink"/>
                <w:noProof/>
              </w:rPr>
              <w:t>3. (Değişiklik: 01.03.2018 tarih ve 9/316 sayılı Kurul Kararı ile) Fon Türlerine ve Portföy Sınırlamalarına İlişkin Kontrol</w:t>
            </w:r>
            <w:r>
              <w:rPr>
                <w:noProof/>
                <w:webHidden/>
              </w:rPr>
              <w:tab/>
            </w:r>
            <w:r>
              <w:rPr>
                <w:noProof/>
                <w:webHidden/>
              </w:rPr>
              <w:fldChar w:fldCharType="begin"/>
            </w:r>
            <w:r>
              <w:rPr>
                <w:noProof/>
                <w:webHidden/>
              </w:rPr>
              <w:instrText xml:space="preserve"> PAGEREF _Toc130312670 \h </w:instrText>
            </w:r>
            <w:r>
              <w:rPr>
                <w:noProof/>
                <w:webHidden/>
              </w:rPr>
            </w:r>
            <w:r>
              <w:rPr>
                <w:noProof/>
                <w:webHidden/>
              </w:rPr>
              <w:fldChar w:fldCharType="separate"/>
            </w:r>
            <w:r>
              <w:rPr>
                <w:noProof/>
                <w:webHidden/>
              </w:rPr>
              <w:t>15</w:t>
            </w:r>
            <w:r>
              <w:rPr>
                <w:noProof/>
                <w:webHidden/>
              </w:rPr>
              <w:fldChar w:fldCharType="end"/>
            </w:r>
          </w:hyperlink>
        </w:p>
        <w:p w:rsidR="00077E82" w:rsidRDefault="00077E82">
          <w:pPr>
            <w:pStyle w:val="TOC1"/>
            <w:rPr>
              <w:rFonts w:eastAsiaTheme="minorEastAsia"/>
              <w:noProof/>
              <w:lang w:eastAsia="tr-TR"/>
            </w:rPr>
          </w:pPr>
          <w:hyperlink w:anchor="_Toc130312671" w:history="1">
            <w:r w:rsidRPr="00FA7D9A">
              <w:rPr>
                <w:rStyle w:val="Hyperlink"/>
                <w:noProof/>
              </w:rPr>
              <w:t xml:space="preserve">4. </w:t>
            </w:r>
            <w:r w:rsidRPr="00FA7D9A">
              <w:rPr>
                <w:rStyle w:val="Hyperlink"/>
                <w:rFonts w:cs="Times New Roman"/>
                <w:noProof/>
              </w:rPr>
              <w:t>Fon Portföyünü Oluşturan Varlık ve İşlemlere İlişkin Esaslar</w:t>
            </w:r>
            <w:r>
              <w:rPr>
                <w:noProof/>
                <w:webHidden/>
              </w:rPr>
              <w:tab/>
            </w:r>
            <w:r>
              <w:rPr>
                <w:noProof/>
                <w:webHidden/>
              </w:rPr>
              <w:fldChar w:fldCharType="begin"/>
            </w:r>
            <w:r>
              <w:rPr>
                <w:noProof/>
                <w:webHidden/>
              </w:rPr>
              <w:instrText xml:space="preserve"> PAGEREF _Toc130312671 \h </w:instrText>
            </w:r>
            <w:r>
              <w:rPr>
                <w:noProof/>
                <w:webHidden/>
              </w:rPr>
            </w:r>
            <w:r>
              <w:rPr>
                <w:noProof/>
                <w:webHidden/>
              </w:rPr>
              <w:fldChar w:fldCharType="separate"/>
            </w:r>
            <w:r>
              <w:rPr>
                <w:noProof/>
                <w:webHidden/>
              </w:rPr>
              <w:t>16</w:t>
            </w:r>
            <w:r>
              <w:rPr>
                <w:noProof/>
                <w:webHidden/>
              </w:rPr>
              <w:fldChar w:fldCharType="end"/>
            </w:r>
          </w:hyperlink>
        </w:p>
        <w:p w:rsidR="00077E82" w:rsidRDefault="00077E82">
          <w:pPr>
            <w:pStyle w:val="TOC2"/>
            <w:rPr>
              <w:rFonts w:eastAsiaTheme="minorEastAsia"/>
              <w:noProof/>
              <w:lang w:eastAsia="tr-TR"/>
            </w:rPr>
          </w:pPr>
          <w:hyperlink w:anchor="_Toc130312672" w:history="1">
            <w:r w:rsidRPr="00FA7D9A">
              <w:rPr>
                <w:rStyle w:val="Hyperlink"/>
                <w:rFonts w:eastAsia="Times New Roman"/>
                <w:noProof/>
                <w:lang w:eastAsia="tr-TR"/>
              </w:rPr>
              <w:t xml:space="preserve">4.1. </w:t>
            </w:r>
            <w:r w:rsidRPr="00FA7D9A">
              <w:rPr>
                <w:rStyle w:val="Hyperlink"/>
                <w:noProof/>
              </w:rPr>
              <w:t>Varlıklara İlişkin Esaslar</w:t>
            </w:r>
            <w:r>
              <w:rPr>
                <w:noProof/>
                <w:webHidden/>
              </w:rPr>
              <w:tab/>
            </w:r>
            <w:r>
              <w:rPr>
                <w:noProof/>
                <w:webHidden/>
              </w:rPr>
              <w:fldChar w:fldCharType="begin"/>
            </w:r>
            <w:r>
              <w:rPr>
                <w:noProof/>
                <w:webHidden/>
              </w:rPr>
              <w:instrText xml:space="preserve"> PAGEREF _Toc130312672 \h </w:instrText>
            </w:r>
            <w:r>
              <w:rPr>
                <w:noProof/>
                <w:webHidden/>
              </w:rPr>
            </w:r>
            <w:r>
              <w:rPr>
                <w:noProof/>
                <w:webHidden/>
              </w:rPr>
              <w:fldChar w:fldCharType="separate"/>
            </w:r>
            <w:r>
              <w:rPr>
                <w:noProof/>
                <w:webHidden/>
              </w:rPr>
              <w:t>16</w:t>
            </w:r>
            <w:r>
              <w:rPr>
                <w:noProof/>
                <w:webHidden/>
              </w:rPr>
              <w:fldChar w:fldCharType="end"/>
            </w:r>
          </w:hyperlink>
        </w:p>
        <w:p w:rsidR="00077E82" w:rsidRDefault="00077E82">
          <w:pPr>
            <w:pStyle w:val="TOC3"/>
            <w:rPr>
              <w:rFonts w:eastAsiaTheme="minorEastAsia"/>
              <w:noProof/>
              <w:lang w:eastAsia="tr-TR"/>
            </w:rPr>
          </w:pPr>
          <w:hyperlink w:anchor="_Toc130312673" w:history="1">
            <w:r w:rsidRPr="00FA7D9A">
              <w:rPr>
                <w:rStyle w:val="Hyperlink"/>
                <w:noProof/>
              </w:rPr>
              <w:t>4.1.1. Türev Araçlara Yatırım Yapan Fonlarda İhraççı Sınırı Kontrolü</w:t>
            </w:r>
            <w:r>
              <w:rPr>
                <w:noProof/>
                <w:webHidden/>
              </w:rPr>
              <w:tab/>
            </w:r>
            <w:r>
              <w:rPr>
                <w:noProof/>
                <w:webHidden/>
              </w:rPr>
              <w:fldChar w:fldCharType="begin"/>
            </w:r>
            <w:r>
              <w:rPr>
                <w:noProof/>
                <w:webHidden/>
              </w:rPr>
              <w:instrText xml:space="preserve"> PAGEREF _Toc130312673 \h </w:instrText>
            </w:r>
            <w:r>
              <w:rPr>
                <w:noProof/>
                <w:webHidden/>
              </w:rPr>
            </w:r>
            <w:r>
              <w:rPr>
                <w:noProof/>
                <w:webHidden/>
              </w:rPr>
              <w:fldChar w:fldCharType="separate"/>
            </w:r>
            <w:r>
              <w:rPr>
                <w:noProof/>
                <w:webHidden/>
              </w:rPr>
              <w:t>16</w:t>
            </w:r>
            <w:r>
              <w:rPr>
                <w:noProof/>
                <w:webHidden/>
              </w:rPr>
              <w:fldChar w:fldCharType="end"/>
            </w:r>
          </w:hyperlink>
        </w:p>
        <w:p w:rsidR="00077E82" w:rsidRDefault="00077E82">
          <w:pPr>
            <w:pStyle w:val="TOC3"/>
            <w:rPr>
              <w:rFonts w:eastAsiaTheme="minorEastAsia"/>
              <w:noProof/>
              <w:lang w:eastAsia="tr-TR"/>
            </w:rPr>
          </w:pPr>
          <w:hyperlink w:anchor="_Toc130312674" w:history="1">
            <w:r w:rsidRPr="00FA7D9A">
              <w:rPr>
                <w:rStyle w:val="Hyperlink"/>
                <w:rFonts w:eastAsia="Times New Roman"/>
                <w:noProof/>
                <w:lang w:eastAsia="tr-TR"/>
              </w:rPr>
              <w:t>4.1.2. Diğer Yatırım Araçları</w:t>
            </w:r>
            <w:r>
              <w:rPr>
                <w:noProof/>
                <w:webHidden/>
              </w:rPr>
              <w:tab/>
            </w:r>
            <w:r>
              <w:rPr>
                <w:noProof/>
                <w:webHidden/>
              </w:rPr>
              <w:fldChar w:fldCharType="begin"/>
            </w:r>
            <w:r>
              <w:rPr>
                <w:noProof/>
                <w:webHidden/>
              </w:rPr>
              <w:instrText xml:space="preserve"> PAGEREF _Toc130312674 \h </w:instrText>
            </w:r>
            <w:r>
              <w:rPr>
                <w:noProof/>
                <w:webHidden/>
              </w:rPr>
            </w:r>
            <w:r>
              <w:rPr>
                <w:noProof/>
                <w:webHidden/>
              </w:rPr>
              <w:fldChar w:fldCharType="separate"/>
            </w:r>
            <w:r>
              <w:rPr>
                <w:noProof/>
                <w:webHidden/>
              </w:rPr>
              <w:t>17</w:t>
            </w:r>
            <w:r>
              <w:rPr>
                <w:noProof/>
                <w:webHidden/>
              </w:rPr>
              <w:fldChar w:fldCharType="end"/>
            </w:r>
          </w:hyperlink>
        </w:p>
        <w:p w:rsidR="00077E82" w:rsidRDefault="00077E82">
          <w:pPr>
            <w:pStyle w:val="TOC3"/>
            <w:rPr>
              <w:rFonts w:eastAsiaTheme="minorEastAsia"/>
              <w:noProof/>
              <w:lang w:eastAsia="tr-TR"/>
            </w:rPr>
          </w:pPr>
          <w:hyperlink w:anchor="_Toc130312675" w:history="1">
            <w:r w:rsidRPr="00FA7D9A">
              <w:rPr>
                <w:rStyle w:val="Hyperlink"/>
                <w:noProof/>
              </w:rPr>
              <w:t xml:space="preserve">4.1.3. </w:t>
            </w:r>
            <w:r w:rsidRPr="00FA7D9A">
              <w:rPr>
                <w:rStyle w:val="Hyperlink"/>
                <w:rFonts w:cs="Times New Roman"/>
                <w:iCs/>
                <w:noProof/>
              </w:rPr>
              <w:t xml:space="preserve">(Değişiklik: 29.09.2022 tarih ve 54/1446 sayılı Kurul Kararı ile) </w:t>
            </w:r>
            <w:r w:rsidRPr="00FA7D9A">
              <w:rPr>
                <w:rStyle w:val="Hyperlink"/>
                <w:noProof/>
              </w:rPr>
              <w:t>Kıymetli Madenlere Dayalı Vadeli Mevduat ve Katılma Hesapları</w:t>
            </w:r>
            <w:r>
              <w:rPr>
                <w:noProof/>
                <w:webHidden/>
              </w:rPr>
              <w:tab/>
            </w:r>
            <w:r>
              <w:rPr>
                <w:noProof/>
                <w:webHidden/>
              </w:rPr>
              <w:fldChar w:fldCharType="begin"/>
            </w:r>
            <w:r>
              <w:rPr>
                <w:noProof/>
                <w:webHidden/>
              </w:rPr>
              <w:instrText xml:space="preserve"> PAGEREF _Toc130312675 \h </w:instrText>
            </w:r>
            <w:r>
              <w:rPr>
                <w:noProof/>
                <w:webHidden/>
              </w:rPr>
            </w:r>
            <w:r>
              <w:rPr>
                <w:noProof/>
                <w:webHidden/>
              </w:rPr>
              <w:fldChar w:fldCharType="separate"/>
            </w:r>
            <w:r>
              <w:rPr>
                <w:noProof/>
                <w:webHidden/>
              </w:rPr>
              <w:t>19</w:t>
            </w:r>
            <w:r>
              <w:rPr>
                <w:noProof/>
                <w:webHidden/>
              </w:rPr>
              <w:fldChar w:fldCharType="end"/>
            </w:r>
          </w:hyperlink>
        </w:p>
        <w:p w:rsidR="00077E82" w:rsidRDefault="00077E82">
          <w:pPr>
            <w:pStyle w:val="TOC3"/>
            <w:rPr>
              <w:rFonts w:eastAsiaTheme="minorEastAsia"/>
              <w:noProof/>
              <w:lang w:eastAsia="tr-TR"/>
            </w:rPr>
          </w:pPr>
          <w:hyperlink w:anchor="_Toc130312676" w:history="1">
            <w:r w:rsidRPr="00FA7D9A">
              <w:rPr>
                <w:rStyle w:val="Hyperlink"/>
                <w:noProof/>
              </w:rPr>
              <w:t>4.1.4. (Değişiklik: 01.03.2018 tarih ve 9/316 sayılı Kurul Kararı ile) Vadeli Mevduat/Katılma Hesabına İlişkin Sınırlama</w:t>
            </w:r>
            <w:r>
              <w:rPr>
                <w:noProof/>
                <w:webHidden/>
              </w:rPr>
              <w:tab/>
            </w:r>
            <w:r>
              <w:rPr>
                <w:noProof/>
                <w:webHidden/>
              </w:rPr>
              <w:fldChar w:fldCharType="begin"/>
            </w:r>
            <w:r>
              <w:rPr>
                <w:noProof/>
                <w:webHidden/>
              </w:rPr>
              <w:instrText xml:space="preserve"> PAGEREF _Toc130312676 \h </w:instrText>
            </w:r>
            <w:r>
              <w:rPr>
                <w:noProof/>
                <w:webHidden/>
              </w:rPr>
            </w:r>
            <w:r>
              <w:rPr>
                <w:noProof/>
                <w:webHidden/>
              </w:rPr>
              <w:fldChar w:fldCharType="separate"/>
            </w:r>
            <w:r>
              <w:rPr>
                <w:noProof/>
                <w:webHidden/>
              </w:rPr>
              <w:t>19</w:t>
            </w:r>
            <w:r>
              <w:rPr>
                <w:noProof/>
                <w:webHidden/>
              </w:rPr>
              <w:fldChar w:fldCharType="end"/>
            </w:r>
          </w:hyperlink>
        </w:p>
        <w:p w:rsidR="00077E82" w:rsidRDefault="00077E82">
          <w:pPr>
            <w:pStyle w:val="TOC3"/>
            <w:rPr>
              <w:rFonts w:eastAsiaTheme="minorEastAsia"/>
              <w:noProof/>
              <w:lang w:eastAsia="tr-TR"/>
            </w:rPr>
          </w:pPr>
          <w:hyperlink w:anchor="_Toc130312677" w:history="1">
            <w:r w:rsidRPr="00FA7D9A">
              <w:rPr>
                <w:rStyle w:val="Hyperlink"/>
                <w:noProof/>
              </w:rPr>
              <w:t>4.1.5. Yurtdışında İhraç Edilen Para ve Sermaye Piyasası Araçları</w:t>
            </w:r>
            <w:r>
              <w:rPr>
                <w:noProof/>
                <w:webHidden/>
              </w:rPr>
              <w:tab/>
            </w:r>
            <w:r>
              <w:rPr>
                <w:noProof/>
                <w:webHidden/>
              </w:rPr>
              <w:fldChar w:fldCharType="begin"/>
            </w:r>
            <w:r>
              <w:rPr>
                <w:noProof/>
                <w:webHidden/>
              </w:rPr>
              <w:instrText xml:space="preserve"> PAGEREF _Toc130312677 \h </w:instrText>
            </w:r>
            <w:r>
              <w:rPr>
                <w:noProof/>
                <w:webHidden/>
              </w:rPr>
            </w:r>
            <w:r>
              <w:rPr>
                <w:noProof/>
                <w:webHidden/>
              </w:rPr>
              <w:fldChar w:fldCharType="separate"/>
            </w:r>
            <w:r>
              <w:rPr>
                <w:noProof/>
                <w:webHidden/>
              </w:rPr>
              <w:t>19</w:t>
            </w:r>
            <w:r>
              <w:rPr>
                <w:noProof/>
                <w:webHidden/>
              </w:rPr>
              <w:fldChar w:fldCharType="end"/>
            </w:r>
          </w:hyperlink>
        </w:p>
        <w:p w:rsidR="00077E82" w:rsidRDefault="00077E82">
          <w:pPr>
            <w:pStyle w:val="TOC3"/>
            <w:rPr>
              <w:rFonts w:eastAsiaTheme="minorEastAsia"/>
              <w:noProof/>
              <w:lang w:eastAsia="tr-TR"/>
            </w:rPr>
          </w:pPr>
          <w:hyperlink w:anchor="_Toc130312678" w:history="1">
            <w:r w:rsidRPr="00FA7D9A">
              <w:rPr>
                <w:rStyle w:val="Hyperlink"/>
                <w:noProof/>
              </w:rPr>
              <w:t>4.1.6. (Ek: 04.03.2016 tarih ve 8/257 sayılı Kurul Kararı ile), (Değişiklik: 23.05.2016 tarih ve 17/573 sayılı Kurul Kararı ile), (Değişiklik: 09.05.2017 tarih ve 20/688 sayılı Kurul Kararı ile), (Değişiklik: 20.06.2018 tarih ve 26/740 sayılı Kurul Kararı ile) İlişkili Tarafların İhracına Aracılık Ettiği Özel Sektör Borçlanma Aracının Portföye Dahil Edilmesine İlişkin Esaslar</w:t>
            </w:r>
            <w:r>
              <w:rPr>
                <w:noProof/>
                <w:webHidden/>
              </w:rPr>
              <w:tab/>
            </w:r>
            <w:r>
              <w:rPr>
                <w:noProof/>
                <w:webHidden/>
              </w:rPr>
              <w:fldChar w:fldCharType="begin"/>
            </w:r>
            <w:r>
              <w:rPr>
                <w:noProof/>
                <w:webHidden/>
              </w:rPr>
              <w:instrText xml:space="preserve"> PAGEREF _Toc130312678 \h </w:instrText>
            </w:r>
            <w:r>
              <w:rPr>
                <w:noProof/>
                <w:webHidden/>
              </w:rPr>
            </w:r>
            <w:r>
              <w:rPr>
                <w:noProof/>
                <w:webHidden/>
              </w:rPr>
              <w:fldChar w:fldCharType="separate"/>
            </w:r>
            <w:r>
              <w:rPr>
                <w:noProof/>
                <w:webHidden/>
              </w:rPr>
              <w:t>20</w:t>
            </w:r>
            <w:r>
              <w:rPr>
                <w:noProof/>
                <w:webHidden/>
              </w:rPr>
              <w:fldChar w:fldCharType="end"/>
            </w:r>
          </w:hyperlink>
        </w:p>
        <w:p w:rsidR="00077E82" w:rsidRDefault="00077E82">
          <w:pPr>
            <w:pStyle w:val="TOC3"/>
            <w:rPr>
              <w:rFonts w:eastAsiaTheme="minorEastAsia"/>
              <w:noProof/>
              <w:lang w:eastAsia="tr-TR"/>
            </w:rPr>
          </w:pPr>
          <w:hyperlink w:anchor="_Toc130312679" w:history="1">
            <w:r w:rsidRPr="00FA7D9A">
              <w:rPr>
                <w:rStyle w:val="Hyperlink"/>
                <w:noProof/>
              </w:rPr>
              <w:t>4.1.7. (Ek: 01.03.2018 tarih ve 9/316 sayılı Kurul Kararı ile) Varlığa/İpoteğe Dayalı Menkul Kıymetlere İlişkin Sınırlamalar</w:t>
            </w:r>
            <w:r>
              <w:rPr>
                <w:noProof/>
                <w:webHidden/>
              </w:rPr>
              <w:tab/>
            </w:r>
            <w:r>
              <w:rPr>
                <w:noProof/>
                <w:webHidden/>
              </w:rPr>
              <w:fldChar w:fldCharType="begin"/>
            </w:r>
            <w:r>
              <w:rPr>
                <w:noProof/>
                <w:webHidden/>
              </w:rPr>
              <w:instrText xml:space="preserve"> PAGEREF _Toc130312679 \h </w:instrText>
            </w:r>
            <w:r>
              <w:rPr>
                <w:noProof/>
                <w:webHidden/>
              </w:rPr>
            </w:r>
            <w:r>
              <w:rPr>
                <w:noProof/>
                <w:webHidden/>
              </w:rPr>
              <w:fldChar w:fldCharType="separate"/>
            </w:r>
            <w:r>
              <w:rPr>
                <w:noProof/>
                <w:webHidden/>
              </w:rPr>
              <w:t>20</w:t>
            </w:r>
            <w:r>
              <w:rPr>
                <w:noProof/>
                <w:webHidden/>
              </w:rPr>
              <w:fldChar w:fldCharType="end"/>
            </w:r>
          </w:hyperlink>
        </w:p>
        <w:p w:rsidR="00077E82" w:rsidRDefault="00077E82">
          <w:pPr>
            <w:pStyle w:val="TOC3"/>
            <w:rPr>
              <w:rFonts w:eastAsiaTheme="minorEastAsia"/>
              <w:noProof/>
              <w:lang w:eastAsia="tr-TR"/>
            </w:rPr>
          </w:pPr>
          <w:hyperlink w:anchor="_Toc130312680" w:history="1">
            <w:r w:rsidRPr="00FA7D9A">
              <w:rPr>
                <w:rStyle w:val="Hyperlink"/>
                <w:noProof/>
              </w:rPr>
              <w:t>4.1.8. (Ek: 20.06.2018 tarih ve 26/740 sayılı Kurul Kararı ile) Bankaların İlave Ana Sermaye Hesaplamasına Dahil Edilecek Borçlanma Araçları</w:t>
            </w:r>
            <w:r>
              <w:rPr>
                <w:noProof/>
                <w:webHidden/>
              </w:rPr>
              <w:tab/>
            </w:r>
            <w:r>
              <w:rPr>
                <w:noProof/>
                <w:webHidden/>
              </w:rPr>
              <w:fldChar w:fldCharType="begin"/>
            </w:r>
            <w:r>
              <w:rPr>
                <w:noProof/>
                <w:webHidden/>
              </w:rPr>
              <w:instrText xml:space="preserve"> PAGEREF _Toc130312680 \h </w:instrText>
            </w:r>
            <w:r>
              <w:rPr>
                <w:noProof/>
                <w:webHidden/>
              </w:rPr>
            </w:r>
            <w:r>
              <w:rPr>
                <w:noProof/>
                <w:webHidden/>
              </w:rPr>
              <w:fldChar w:fldCharType="separate"/>
            </w:r>
            <w:r>
              <w:rPr>
                <w:noProof/>
                <w:webHidden/>
              </w:rPr>
              <w:t>20</w:t>
            </w:r>
            <w:r>
              <w:rPr>
                <w:noProof/>
                <w:webHidden/>
              </w:rPr>
              <w:fldChar w:fldCharType="end"/>
            </w:r>
          </w:hyperlink>
        </w:p>
        <w:p w:rsidR="00077E82" w:rsidRDefault="00077E82">
          <w:pPr>
            <w:pStyle w:val="TOC3"/>
            <w:rPr>
              <w:rFonts w:eastAsiaTheme="minorEastAsia"/>
              <w:noProof/>
              <w:lang w:eastAsia="tr-TR"/>
            </w:rPr>
          </w:pPr>
          <w:hyperlink w:anchor="_Toc130312681" w:history="1">
            <w:r w:rsidRPr="00FA7D9A">
              <w:rPr>
                <w:rStyle w:val="Hyperlink"/>
                <w:rFonts w:eastAsia="Times New Roman"/>
                <w:noProof/>
                <w:lang w:eastAsia="tr-TR"/>
              </w:rPr>
              <w:t>4.1.9. (Ek: 29.09.2022 tarih ve 54/1446 sayılı Kurul Kararı ile) Gelire Endeksli Senetlerin Fon Portföyüne Dahil Edilmesine İlişkin Esaslar</w:t>
            </w:r>
            <w:r>
              <w:rPr>
                <w:noProof/>
                <w:webHidden/>
              </w:rPr>
              <w:tab/>
            </w:r>
            <w:r>
              <w:rPr>
                <w:noProof/>
                <w:webHidden/>
              </w:rPr>
              <w:fldChar w:fldCharType="begin"/>
            </w:r>
            <w:r>
              <w:rPr>
                <w:noProof/>
                <w:webHidden/>
              </w:rPr>
              <w:instrText xml:space="preserve"> PAGEREF _Toc130312681 \h </w:instrText>
            </w:r>
            <w:r>
              <w:rPr>
                <w:noProof/>
                <w:webHidden/>
              </w:rPr>
            </w:r>
            <w:r>
              <w:rPr>
                <w:noProof/>
                <w:webHidden/>
              </w:rPr>
              <w:fldChar w:fldCharType="separate"/>
            </w:r>
            <w:r>
              <w:rPr>
                <w:noProof/>
                <w:webHidden/>
              </w:rPr>
              <w:t>21</w:t>
            </w:r>
            <w:r>
              <w:rPr>
                <w:noProof/>
                <w:webHidden/>
              </w:rPr>
              <w:fldChar w:fldCharType="end"/>
            </w:r>
          </w:hyperlink>
        </w:p>
        <w:p w:rsidR="00077E82" w:rsidRDefault="00077E82">
          <w:pPr>
            <w:pStyle w:val="TOC2"/>
            <w:rPr>
              <w:rFonts w:eastAsiaTheme="minorEastAsia"/>
              <w:noProof/>
              <w:lang w:eastAsia="tr-TR"/>
            </w:rPr>
          </w:pPr>
          <w:hyperlink w:anchor="_Toc130312682" w:history="1">
            <w:r w:rsidRPr="00FA7D9A">
              <w:rPr>
                <w:rStyle w:val="Hyperlink"/>
                <w:rFonts w:eastAsia="Times New Roman"/>
                <w:noProof/>
                <w:lang w:eastAsia="tr-TR"/>
              </w:rPr>
              <w:t>4.1.10. (Ek: 21.03.2023 tarih ve 17/366 sayılı Kurul Kararı ile) Darphane Sertifikasına İlişkin Esaslar</w:t>
            </w:r>
            <w:r>
              <w:rPr>
                <w:noProof/>
                <w:webHidden/>
              </w:rPr>
              <w:tab/>
            </w:r>
            <w:r>
              <w:rPr>
                <w:noProof/>
                <w:webHidden/>
              </w:rPr>
              <w:fldChar w:fldCharType="begin"/>
            </w:r>
            <w:r>
              <w:rPr>
                <w:noProof/>
                <w:webHidden/>
              </w:rPr>
              <w:instrText xml:space="preserve"> PAGEREF _Toc130312682 \h </w:instrText>
            </w:r>
            <w:r>
              <w:rPr>
                <w:noProof/>
                <w:webHidden/>
              </w:rPr>
            </w:r>
            <w:r>
              <w:rPr>
                <w:noProof/>
                <w:webHidden/>
              </w:rPr>
              <w:fldChar w:fldCharType="separate"/>
            </w:r>
            <w:r>
              <w:rPr>
                <w:noProof/>
                <w:webHidden/>
              </w:rPr>
              <w:t>21</w:t>
            </w:r>
            <w:r>
              <w:rPr>
                <w:noProof/>
                <w:webHidden/>
              </w:rPr>
              <w:fldChar w:fldCharType="end"/>
            </w:r>
          </w:hyperlink>
        </w:p>
        <w:p w:rsidR="00077E82" w:rsidRDefault="00077E82">
          <w:pPr>
            <w:pStyle w:val="TOC2"/>
            <w:rPr>
              <w:rFonts w:eastAsiaTheme="minorEastAsia"/>
              <w:noProof/>
              <w:lang w:eastAsia="tr-TR"/>
            </w:rPr>
          </w:pPr>
          <w:hyperlink w:anchor="_Toc130312683" w:history="1">
            <w:r w:rsidRPr="00FA7D9A">
              <w:rPr>
                <w:rStyle w:val="Hyperlink"/>
                <w:noProof/>
              </w:rPr>
              <w:t>4.2. İşlemlere İlişkin Esaslar</w:t>
            </w:r>
            <w:r>
              <w:rPr>
                <w:noProof/>
                <w:webHidden/>
              </w:rPr>
              <w:tab/>
            </w:r>
            <w:r>
              <w:rPr>
                <w:noProof/>
                <w:webHidden/>
              </w:rPr>
              <w:fldChar w:fldCharType="begin"/>
            </w:r>
            <w:r>
              <w:rPr>
                <w:noProof/>
                <w:webHidden/>
              </w:rPr>
              <w:instrText xml:space="preserve"> PAGEREF _Toc130312683 \h </w:instrText>
            </w:r>
            <w:r>
              <w:rPr>
                <w:noProof/>
                <w:webHidden/>
              </w:rPr>
            </w:r>
            <w:r>
              <w:rPr>
                <w:noProof/>
                <w:webHidden/>
              </w:rPr>
              <w:fldChar w:fldCharType="separate"/>
            </w:r>
            <w:r>
              <w:rPr>
                <w:noProof/>
                <w:webHidden/>
              </w:rPr>
              <w:t>21</w:t>
            </w:r>
            <w:r>
              <w:rPr>
                <w:noProof/>
                <w:webHidden/>
              </w:rPr>
              <w:fldChar w:fldCharType="end"/>
            </w:r>
          </w:hyperlink>
        </w:p>
        <w:p w:rsidR="00077E82" w:rsidRDefault="00077E82">
          <w:pPr>
            <w:pStyle w:val="TOC3"/>
            <w:rPr>
              <w:rFonts w:eastAsiaTheme="minorEastAsia"/>
              <w:noProof/>
              <w:lang w:eastAsia="tr-TR"/>
            </w:rPr>
          </w:pPr>
          <w:hyperlink w:anchor="_Toc130312684" w:history="1">
            <w:r w:rsidRPr="00FA7D9A">
              <w:rPr>
                <w:rStyle w:val="Hyperlink"/>
                <w:noProof/>
              </w:rPr>
              <w:t>4.2.1. Hazine İhaleleri</w:t>
            </w:r>
            <w:r>
              <w:rPr>
                <w:noProof/>
                <w:webHidden/>
              </w:rPr>
              <w:tab/>
            </w:r>
            <w:r>
              <w:rPr>
                <w:noProof/>
                <w:webHidden/>
              </w:rPr>
              <w:fldChar w:fldCharType="begin"/>
            </w:r>
            <w:r>
              <w:rPr>
                <w:noProof/>
                <w:webHidden/>
              </w:rPr>
              <w:instrText xml:space="preserve"> PAGEREF _Toc130312684 \h </w:instrText>
            </w:r>
            <w:r>
              <w:rPr>
                <w:noProof/>
                <w:webHidden/>
              </w:rPr>
            </w:r>
            <w:r>
              <w:rPr>
                <w:noProof/>
                <w:webHidden/>
              </w:rPr>
              <w:fldChar w:fldCharType="separate"/>
            </w:r>
            <w:r>
              <w:rPr>
                <w:noProof/>
                <w:webHidden/>
              </w:rPr>
              <w:t>21</w:t>
            </w:r>
            <w:r>
              <w:rPr>
                <w:noProof/>
                <w:webHidden/>
              </w:rPr>
              <w:fldChar w:fldCharType="end"/>
            </w:r>
          </w:hyperlink>
        </w:p>
        <w:p w:rsidR="00077E82" w:rsidRDefault="00077E82">
          <w:pPr>
            <w:pStyle w:val="TOC3"/>
            <w:rPr>
              <w:rFonts w:eastAsiaTheme="minorEastAsia"/>
              <w:noProof/>
              <w:lang w:eastAsia="tr-TR"/>
            </w:rPr>
          </w:pPr>
          <w:hyperlink w:anchor="_Toc130312685" w:history="1">
            <w:r w:rsidRPr="00FA7D9A">
              <w:rPr>
                <w:rStyle w:val="Hyperlink"/>
                <w:noProof/>
              </w:rPr>
              <w:t>4.2.2. Aynı Gün Valörlü Tahvil ve Bono İşlemleri ile Ters Repo İşlemleri</w:t>
            </w:r>
            <w:r>
              <w:rPr>
                <w:noProof/>
                <w:webHidden/>
              </w:rPr>
              <w:tab/>
            </w:r>
            <w:r>
              <w:rPr>
                <w:noProof/>
                <w:webHidden/>
              </w:rPr>
              <w:fldChar w:fldCharType="begin"/>
            </w:r>
            <w:r>
              <w:rPr>
                <w:noProof/>
                <w:webHidden/>
              </w:rPr>
              <w:instrText xml:space="preserve"> PAGEREF _Toc130312685 \h </w:instrText>
            </w:r>
            <w:r>
              <w:rPr>
                <w:noProof/>
                <w:webHidden/>
              </w:rPr>
            </w:r>
            <w:r>
              <w:rPr>
                <w:noProof/>
                <w:webHidden/>
              </w:rPr>
              <w:fldChar w:fldCharType="separate"/>
            </w:r>
            <w:r>
              <w:rPr>
                <w:noProof/>
                <w:webHidden/>
              </w:rPr>
              <w:t>22</w:t>
            </w:r>
            <w:r>
              <w:rPr>
                <w:noProof/>
                <w:webHidden/>
              </w:rPr>
              <w:fldChar w:fldCharType="end"/>
            </w:r>
          </w:hyperlink>
        </w:p>
        <w:p w:rsidR="00077E82" w:rsidRDefault="00077E82">
          <w:pPr>
            <w:pStyle w:val="TOC3"/>
            <w:rPr>
              <w:rFonts w:eastAsiaTheme="minorEastAsia"/>
              <w:noProof/>
              <w:lang w:eastAsia="tr-TR"/>
            </w:rPr>
          </w:pPr>
          <w:hyperlink w:anchor="_Toc130312686" w:history="1">
            <w:r w:rsidRPr="00FA7D9A">
              <w:rPr>
                <w:rStyle w:val="Hyperlink"/>
                <w:rFonts w:eastAsia="Times New Roman"/>
                <w:noProof/>
                <w:lang w:eastAsia="tr-TR"/>
              </w:rPr>
              <w:t xml:space="preserve">4.2.3. </w:t>
            </w:r>
            <w:r w:rsidRPr="00FA7D9A">
              <w:rPr>
                <w:rStyle w:val="Hyperlink"/>
                <w:noProof/>
              </w:rPr>
              <w:t xml:space="preserve">(Değişiklik: 09.05.2017 tarih ve 20/688 sayılı Kurul Kararı ile) </w:t>
            </w:r>
            <w:r w:rsidRPr="00FA7D9A">
              <w:rPr>
                <w:rStyle w:val="Hyperlink"/>
                <w:rFonts w:eastAsia="Times New Roman"/>
                <w:noProof/>
                <w:lang w:eastAsia="tr-TR"/>
              </w:rPr>
              <w:t>Borsa Dışı Ters Repo ve Vaad Sözleşmeleri</w:t>
            </w:r>
            <w:r>
              <w:rPr>
                <w:noProof/>
                <w:webHidden/>
              </w:rPr>
              <w:tab/>
            </w:r>
            <w:r>
              <w:rPr>
                <w:noProof/>
                <w:webHidden/>
              </w:rPr>
              <w:fldChar w:fldCharType="begin"/>
            </w:r>
            <w:r>
              <w:rPr>
                <w:noProof/>
                <w:webHidden/>
              </w:rPr>
              <w:instrText xml:space="preserve"> PAGEREF _Toc130312686 \h </w:instrText>
            </w:r>
            <w:r>
              <w:rPr>
                <w:noProof/>
                <w:webHidden/>
              </w:rPr>
            </w:r>
            <w:r>
              <w:rPr>
                <w:noProof/>
                <w:webHidden/>
              </w:rPr>
              <w:fldChar w:fldCharType="separate"/>
            </w:r>
            <w:r>
              <w:rPr>
                <w:noProof/>
                <w:webHidden/>
              </w:rPr>
              <w:t>22</w:t>
            </w:r>
            <w:r>
              <w:rPr>
                <w:noProof/>
                <w:webHidden/>
              </w:rPr>
              <w:fldChar w:fldCharType="end"/>
            </w:r>
          </w:hyperlink>
        </w:p>
        <w:p w:rsidR="00077E82" w:rsidRDefault="00077E82">
          <w:pPr>
            <w:pStyle w:val="TOC3"/>
            <w:rPr>
              <w:rFonts w:eastAsiaTheme="minorEastAsia"/>
              <w:noProof/>
              <w:lang w:eastAsia="tr-TR"/>
            </w:rPr>
          </w:pPr>
          <w:hyperlink w:anchor="_Toc130312687" w:history="1">
            <w:r w:rsidRPr="00FA7D9A">
              <w:rPr>
                <w:rStyle w:val="Hyperlink"/>
                <w:rFonts w:eastAsia="Times New Roman"/>
                <w:noProof/>
                <w:lang w:eastAsia="tr-TR"/>
              </w:rPr>
              <w:t xml:space="preserve">4.2.4. </w:t>
            </w:r>
            <w:r w:rsidRPr="00FA7D9A">
              <w:rPr>
                <w:rStyle w:val="Hyperlink"/>
                <w:noProof/>
              </w:rPr>
              <w:t xml:space="preserve">(Değişiklik: 23.05.2016 tarih ve 17/573 sayılı Kurul Kararı ile) </w:t>
            </w:r>
            <w:r w:rsidRPr="00FA7D9A">
              <w:rPr>
                <w:rStyle w:val="Hyperlink"/>
                <w:rFonts w:eastAsia="Times New Roman"/>
                <w:noProof/>
                <w:lang w:eastAsia="tr-TR"/>
              </w:rPr>
              <w:t>Yurt Dışında Gerçekleştirilecek Borsa Dışı Repo İşlemleri ve Yurt Dışı Bankalar Nezdinde Açılan Mevduat/Katılma Hesapları</w:t>
            </w:r>
            <w:r>
              <w:rPr>
                <w:noProof/>
                <w:webHidden/>
              </w:rPr>
              <w:tab/>
            </w:r>
            <w:r>
              <w:rPr>
                <w:noProof/>
                <w:webHidden/>
              </w:rPr>
              <w:fldChar w:fldCharType="begin"/>
            </w:r>
            <w:r>
              <w:rPr>
                <w:noProof/>
                <w:webHidden/>
              </w:rPr>
              <w:instrText xml:space="preserve"> PAGEREF _Toc130312687 \h </w:instrText>
            </w:r>
            <w:r>
              <w:rPr>
                <w:noProof/>
                <w:webHidden/>
              </w:rPr>
            </w:r>
            <w:r>
              <w:rPr>
                <w:noProof/>
                <w:webHidden/>
              </w:rPr>
              <w:fldChar w:fldCharType="separate"/>
            </w:r>
            <w:r>
              <w:rPr>
                <w:noProof/>
                <w:webHidden/>
              </w:rPr>
              <w:t>23</w:t>
            </w:r>
            <w:r>
              <w:rPr>
                <w:noProof/>
                <w:webHidden/>
              </w:rPr>
              <w:fldChar w:fldCharType="end"/>
            </w:r>
          </w:hyperlink>
        </w:p>
        <w:p w:rsidR="00077E82" w:rsidRDefault="00077E82">
          <w:pPr>
            <w:pStyle w:val="TOC3"/>
            <w:rPr>
              <w:rFonts w:eastAsiaTheme="minorEastAsia"/>
              <w:noProof/>
              <w:lang w:eastAsia="tr-TR"/>
            </w:rPr>
          </w:pPr>
          <w:hyperlink w:anchor="_Toc130312688" w:history="1">
            <w:r w:rsidRPr="00FA7D9A">
              <w:rPr>
                <w:rStyle w:val="Hyperlink"/>
                <w:rFonts w:eastAsia="Times New Roman"/>
                <w:noProof/>
                <w:lang w:eastAsia="tr-TR"/>
              </w:rPr>
              <w:t>4.2.5. Ödünç İşlemleri</w:t>
            </w:r>
            <w:r>
              <w:rPr>
                <w:noProof/>
                <w:webHidden/>
              </w:rPr>
              <w:tab/>
            </w:r>
            <w:r>
              <w:rPr>
                <w:noProof/>
                <w:webHidden/>
              </w:rPr>
              <w:fldChar w:fldCharType="begin"/>
            </w:r>
            <w:r>
              <w:rPr>
                <w:noProof/>
                <w:webHidden/>
              </w:rPr>
              <w:instrText xml:space="preserve"> PAGEREF _Toc130312688 \h </w:instrText>
            </w:r>
            <w:r>
              <w:rPr>
                <w:noProof/>
                <w:webHidden/>
              </w:rPr>
            </w:r>
            <w:r>
              <w:rPr>
                <w:noProof/>
                <w:webHidden/>
              </w:rPr>
              <w:fldChar w:fldCharType="separate"/>
            </w:r>
            <w:r>
              <w:rPr>
                <w:noProof/>
                <w:webHidden/>
              </w:rPr>
              <w:t>23</w:t>
            </w:r>
            <w:r>
              <w:rPr>
                <w:noProof/>
                <w:webHidden/>
              </w:rPr>
              <w:fldChar w:fldCharType="end"/>
            </w:r>
          </w:hyperlink>
        </w:p>
        <w:p w:rsidR="00077E82" w:rsidRDefault="00077E82">
          <w:pPr>
            <w:pStyle w:val="TOC3"/>
            <w:rPr>
              <w:rFonts w:eastAsiaTheme="minorEastAsia"/>
              <w:noProof/>
              <w:lang w:eastAsia="tr-TR"/>
            </w:rPr>
          </w:pPr>
          <w:hyperlink w:anchor="_Toc130312689" w:history="1">
            <w:r w:rsidRPr="00FA7D9A">
              <w:rPr>
                <w:rStyle w:val="Hyperlink"/>
                <w:rFonts w:eastAsia="Times New Roman"/>
                <w:noProof/>
                <w:lang w:eastAsia="tr-TR"/>
              </w:rPr>
              <w:t>4.2.6. (Değişiklik: 27.06.2019 tarih ve 38/864 sayılı Kurul Kararı ile), (Değişiklik:17.06.2021 tarih ve 31/925 sayılı Kurul Kararı ile), (Değişiklik:29.09.2022 tarih ve 54/1446 sayılı Kurul Kararı ile) Fon Portföyünde Yer Alan Varlıkların Vadesinin Hesaplanması</w:t>
            </w:r>
            <w:r>
              <w:rPr>
                <w:noProof/>
                <w:webHidden/>
              </w:rPr>
              <w:tab/>
            </w:r>
            <w:r>
              <w:rPr>
                <w:noProof/>
                <w:webHidden/>
              </w:rPr>
              <w:fldChar w:fldCharType="begin"/>
            </w:r>
            <w:r>
              <w:rPr>
                <w:noProof/>
                <w:webHidden/>
              </w:rPr>
              <w:instrText xml:space="preserve"> PAGEREF _Toc130312689 \h </w:instrText>
            </w:r>
            <w:r>
              <w:rPr>
                <w:noProof/>
                <w:webHidden/>
              </w:rPr>
            </w:r>
            <w:r>
              <w:rPr>
                <w:noProof/>
                <w:webHidden/>
              </w:rPr>
              <w:fldChar w:fldCharType="separate"/>
            </w:r>
            <w:r>
              <w:rPr>
                <w:noProof/>
                <w:webHidden/>
              </w:rPr>
              <w:t>24</w:t>
            </w:r>
            <w:r>
              <w:rPr>
                <w:noProof/>
                <w:webHidden/>
              </w:rPr>
              <w:fldChar w:fldCharType="end"/>
            </w:r>
          </w:hyperlink>
        </w:p>
        <w:p w:rsidR="00077E82" w:rsidRDefault="00077E82">
          <w:pPr>
            <w:pStyle w:val="TOC3"/>
            <w:rPr>
              <w:rFonts w:eastAsiaTheme="minorEastAsia"/>
              <w:noProof/>
              <w:lang w:eastAsia="tr-TR"/>
            </w:rPr>
          </w:pPr>
          <w:hyperlink w:anchor="_Toc130312690" w:history="1">
            <w:r w:rsidRPr="00FA7D9A">
              <w:rPr>
                <w:rStyle w:val="Hyperlink"/>
                <w:noProof/>
              </w:rPr>
              <w:t>4.2.7. Borsa Dışı Türev Araç ve Swap Sözleşmelerine İlişkin Esaslar</w:t>
            </w:r>
            <w:r>
              <w:rPr>
                <w:noProof/>
                <w:webHidden/>
              </w:rPr>
              <w:tab/>
            </w:r>
            <w:r>
              <w:rPr>
                <w:noProof/>
                <w:webHidden/>
              </w:rPr>
              <w:fldChar w:fldCharType="begin"/>
            </w:r>
            <w:r>
              <w:rPr>
                <w:noProof/>
                <w:webHidden/>
              </w:rPr>
              <w:instrText xml:space="preserve"> PAGEREF _Toc130312690 \h </w:instrText>
            </w:r>
            <w:r>
              <w:rPr>
                <w:noProof/>
                <w:webHidden/>
              </w:rPr>
            </w:r>
            <w:r>
              <w:rPr>
                <w:noProof/>
                <w:webHidden/>
              </w:rPr>
              <w:fldChar w:fldCharType="separate"/>
            </w:r>
            <w:r>
              <w:rPr>
                <w:noProof/>
                <w:webHidden/>
              </w:rPr>
              <w:t>25</w:t>
            </w:r>
            <w:r>
              <w:rPr>
                <w:noProof/>
                <w:webHidden/>
              </w:rPr>
              <w:fldChar w:fldCharType="end"/>
            </w:r>
          </w:hyperlink>
        </w:p>
        <w:p w:rsidR="00077E82" w:rsidRDefault="00077E82">
          <w:pPr>
            <w:pStyle w:val="TOC3"/>
            <w:rPr>
              <w:rFonts w:eastAsiaTheme="minorEastAsia"/>
              <w:noProof/>
              <w:lang w:eastAsia="tr-TR"/>
            </w:rPr>
          </w:pPr>
          <w:hyperlink w:anchor="_Toc130312691" w:history="1">
            <w:r w:rsidRPr="00FA7D9A">
              <w:rPr>
                <w:rStyle w:val="Hyperlink"/>
                <w:rFonts w:eastAsia="Times New Roman"/>
                <w:noProof/>
              </w:rPr>
              <w:t xml:space="preserve">4.2.8. </w:t>
            </w:r>
            <w:r w:rsidRPr="00FA7D9A">
              <w:rPr>
                <w:rStyle w:val="Hyperlink"/>
                <w:noProof/>
              </w:rPr>
              <w:t xml:space="preserve">(Değişiklik: 21.03.2023 tarih ve 17/366 sayılı Kurul Kararı ile) </w:t>
            </w:r>
            <w:r w:rsidRPr="00FA7D9A">
              <w:rPr>
                <w:rStyle w:val="Hyperlink"/>
                <w:rFonts w:eastAsia="Times New Roman"/>
                <w:noProof/>
              </w:rPr>
              <w:t>Sermaye Piyasası Araçlarının İlk İhraçları ve Döviz ile Altın Alım Satım İşlemleri</w:t>
            </w:r>
            <w:r>
              <w:rPr>
                <w:noProof/>
                <w:webHidden/>
              </w:rPr>
              <w:tab/>
            </w:r>
            <w:r>
              <w:rPr>
                <w:noProof/>
                <w:webHidden/>
              </w:rPr>
              <w:fldChar w:fldCharType="begin"/>
            </w:r>
            <w:r>
              <w:rPr>
                <w:noProof/>
                <w:webHidden/>
              </w:rPr>
              <w:instrText xml:space="preserve"> PAGEREF _Toc130312691 \h </w:instrText>
            </w:r>
            <w:r>
              <w:rPr>
                <w:noProof/>
                <w:webHidden/>
              </w:rPr>
            </w:r>
            <w:r>
              <w:rPr>
                <w:noProof/>
                <w:webHidden/>
              </w:rPr>
              <w:fldChar w:fldCharType="separate"/>
            </w:r>
            <w:r>
              <w:rPr>
                <w:noProof/>
                <w:webHidden/>
              </w:rPr>
              <w:t>26</w:t>
            </w:r>
            <w:r>
              <w:rPr>
                <w:noProof/>
                <w:webHidden/>
              </w:rPr>
              <w:fldChar w:fldCharType="end"/>
            </w:r>
          </w:hyperlink>
        </w:p>
        <w:p w:rsidR="00077E82" w:rsidRDefault="00077E82">
          <w:pPr>
            <w:pStyle w:val="TOC2"/>
            <w:rPr>
              <w:rFonts w:eastAsiaTheme="minorEastAsia"/>
              <w:noProof/>
              <w:lang w:eastAsia="tr-TR"/>
            </w:rPr>
          </w:pPr>
          <w:hyperlink w:anchor="_Toc130312692" w:history="1">
            <w:r w:rsidRPr="00FA7D9A">
              <w:rPr>
                <w:rStyle w:val="Hyperlink"/>
                <w:rFonts w:eastAsia="Times New Roman" w:cs="Times New Roman"/>
                <w:bCs/>
                <w:noProof/>
                <w:lang w:eastAsia="tr-TR"/>
              </w:rPr>
              <w:t xml:space="preserve">4.2.9. </w:t>
            </w:r>
            <w:r w:rsidRPr="00FA7D9A">
              <w:rPr>
                <w:rStyle w:val="Hyperlink"/>
                <w:noProof/>
              </w:rPr>
              <w:t>(Ek: 13.12.2018 tarih ve 63/1453 sayılı Kurul Kararı ile) Geri Alım Taahhüdü ile İhraç Edilen Sermaye Piyasası Araçları</w:t>
            </w:r>
            <w:r>
              <w:rPr>
                <w:noProof/>
                <w:webHidden/>
              </w:rPr>
              <w:tab/>
            </w:r>
            <w:r>
              <w:rPr>
                <w:noProof/>
                <w:webHidden/>
              </w:rPr>
              <w:fldChar w:fldCharType="begin"/>
            </w:r>
            <w:r>
              <w:rPr>
                <w:noProof/>
                <w:webHidden/>
              </w:rPr>
              <w:instrText xml:space="preserve"> PAGEREF _Toc130312692 \h </w:instrText>
            </w:r>
            <w:r>
              <w:rPr>
                <w:noProof/>
                <w:webHidden/>
              </w:rPr>
            </w:r>
            <w:r>
              <w:rPr>
                <w:noProof/>
                <w:webHidden/>
              </w:rPr>
              <w:fldChar w:fldCharType="separate"/>
            </w:r>
            <w:r>
              <w:rPr>
                <w:noProof/>
                <w:webHidden/>
              </w:rPr>
              <w:t>27</w:t>
            </w:r>
            <w:r>
              <w:rPr>
                <w:noProof/>
                <w:webHidden/>
              </w:rPr>
              <w:fldChar w:fldCharType="end"/>
            </w:r>
          </w:hyperlink>
        </w:p>
        <w:p w:rsidR="00077E82" w:rsidRDefault="00077E82">
          <w:pPr>
            <w:pStyle w:val="TOC2"/>
            <w:rPr>
              <w:rFonts w:eastAsiaTheme="minorEastAsia"/>
              <w:noProof/>
              <w:lang w:eastAsia="tr-TR"/>
            </w:rPr>
          </w:pPr>
          <w:hyperlink w:anchor="_Toc130312693" w:history="1">
            <w:r w:rsidRPr="00FA7D9A">
              <w:rPr>
                <w:rStyle w:val="Hyperlink"/>
                <w:noProof/>
              </w:rPr>
              <w:t xml:space="preserve">4.3. (Değişiklik: 24.10.2019 tarih ve 61/1372 sayılı Kurul Kararı ile), (Değişiklik: 21.03.2023 tarih ve 17/366 sayılı Kurul Kararı ile) Serbest Fonlara İlişkin Esaslar </w:t>
            </w:r>
            <w:r>
              <w:rPr>
                <w:noProof/>
                <w:webHidden/>
              </w:rPr>
              <w:tab/>
            </w:r>
            <w:r>
              <w:rPr>
                <w:noProof/>
                <w:webHidden/>
              </w:rPr>
              <w:fldChar w:fldCharType="begin"/>
            </w:r>
            <w:r>
              <w:rPr>
                <w:noProof/>
                <w:webHidden/>
              </w:rPr>
              <w:instrText xml:space="preserve"> PAGEREF _Toc130312693 \h </w:instrText>
            </w:r>
            <w:r>
              <w:rPr>
                <w:noProof/>
                <w:webHidden/>
              </w:rPr>
            </w:r>
            <w:r>
              <w:rPr>
                <w:noProof/>
                <w:webHidden/>
              </w:rPr>
              <w:fldChar w:fldCharType="separate"/>
            </w:r>
            <w:r>
              <w:rPr>
                <w:noProof/>
                <w:webHidden/>
              </w:rPr>
              <w:t>27</w:t>
            </w:r>
            <w:r>
              <w:rPr>
                <w:noProof/>
                <w:webHidden/>
              </w:rPr>
              <w:fldChar w:fldCharType="end"/>
            </w:r>
          </w:hyperlink>
        </w:p>
        <w:p w:rsidR="00077E82" w:rsidRDefault="00077E82">
          <w:pPr>
            <w:pStyle w:val="TOC2"/>
            <w:rPr>
              <w:rFonts w:eastAsiaTheme="minorEastAsia"/>
              <w:noProof/>
              <w:lang w:eastAsia="tr-TR"/>
            </w:rPr>
          </w:pPr>
          <w:hyperlink w:anchor="_Toc130312694" w:history="1">
            <w:r w:rsidRPr="00FA7D9A">
              <w:rPr>
                <w:rStyle w:val="Hyperlink"/>
                <w:noProof/>
              </w:rPr>
              <w:t>4.4. Portföy Yönetimine İlişkin Esaslar</w:t>
            </w:r>
            <w:r>
              <w:rPr>
                <w:noProof/>
                <w:webHidden/>
              </w:rPr>
              <w:tab/>
            </w:r>
            <w:r>
              <w:rPr>
                <w:noProof/>
                <w:webHidden/>
              </w:rPr>
              <w:fldChar w:fldCharType="begin"/>
            </w:r>
            <w:r>
              <w:rPr>
                <w:noProof/>
                <w:webHidden/>
              </w:rPr>
              <w:instrText xml:space="preserve"> PAGEREF _Toc130312694 \h </w:instrText>
            </w:r>
            <w:r>
              <w:rPr>
                <w:noProof/>
                <w:webHidden/>
              </w:rPr>
            </w:r>
            <w:r>
              <w:rPr>
                <w:noProof/>
                <w:webHidden/>
              </w:rPr>
              <w:fldChar w:fldCharType="separate"/>
            </w:r>
            <w:r>
              <w:rPr>
                <w:noProof/>
                <w:webHidden/>
              </w:rPr>
              <w:t>27</w:t>
            </w:r>
            <w:r>
              <w:rPr>
                <w:noProof/>
                <w:webHidden/>
              </w:rPr>
              <w:fldChar w:fldCharType="end"/>
            </w:r>
          </w:hyperlink>
        </w:p>
        <w:p w:rsidR="00077E82" w:rsidRDefault="00077E82">
          <w:pPr>
            <w:pStyle w:val="TOC2"/>
            <w:rPr>
              <w:rFonts w:eastAsiaTheme="minorEastAsia"/>
              <w:noProof/>
              <w:lang w:eastAsia="tr-TR"/>
            </w:rPr>
          </w:pPr>
          <w:hyperlink w:anchor="_Toc130312695" w:history="1">
            <w:r w:rsidRPr="00FA7D9A">
              <w:rPr>
                <w:rStyle w:val="Hyperlink"/>
                <w:noProof/>
              </w:rPr>
              <w:t xml:space="preserve">4.5. (Ek:13.03.2015 tarih ve 7/330 sayılı Kurul Kararı ile) (Değişiklik: </w:t>
            </w:r>
            <w:r w:rsidRPr="00FA7D9A">
              <w:rPr>
                <w:rStyle w:val="Hyperlink"/>
                <w:rFonts w:eastAsia="Times New Roman" w:cs="Times New Roman"/>
                <w:noProof/>
                <w:lang w:eastAsia="tr-TR"/>
              </w:rPr>
              <w:t>Ek: 21.03.2023 tarih ve 17/366 sayılı Kurul Kararı ile</w:t>
            </w:r>
            <w:r w:rsidRPr="00FA7D9A">
              <w:rPr>
                <w:rStyle w:val="Hyperlink"/>
                <w:noProof/>
              </w:rPr>
              <w:t>) Gayrimenkul Yatırım Fonları ve Girişim Sermayesi Yatırım Fonlarının Katılma Paylarına Yatırım Yapılması</w:t>
            </w:r>
            <w:r>
              <w:rPr>
                <w:noProof/>
                <w:webHidden/>
              </w:rPr>
              <w:tab/>
            </w:r>
            <w:r>
              <w:rPr>
                <w:noProof/>
                <w:webHidden/>
              </w:rPr>
              <w:fldChar w:fldCharType="begin"/>
            </w:r>
            <w:r>
              <w:rPr>
                <w:noProof/>
                <w:webHidden/>
              </w:rPr>
              <w:instrText xml:space="preserve"> PAGEREF _Toc130312695 \h </w:instrText>
            </w:r>
            <w:r>
              <w:rPr>
                <w:noProof/>
                <w:webHidden/>
              </w:rPr>
            </w:r>
            <w:r>
              <w:rPr>
                <w:noProof/>
                <w:webHidden/>
              </w:rPr>
              <w:fldChar w:fldCharType="separate"/>
            </w:r>
            <w:r>
              <w:rPr>
                <w:noProof/>
                <w:webHidden/>
              </w:rPr>
              <w:t>28</w:t>
            </w:r>
            <w:r>
              <w:rPr>
                <w:noProof/>
                <w:webHidden/>
              </w:rPr>
              <w:fldChar w:fldCharType="end"/>
            </w:r>
          </w:hyperlink>
        </w:p>
        <w:p w:rsidR="00077E82" w:rsidRDefault="00077E82">
          <w:pPr>
            <w:pStyle w:val="TOC2"/>
            <w:rPr>
              <w:rFonts w:eastAsiaTheme="minorEastAsia"/>
              <w:noProof/>
              <w:lang w:eastAsia="tr-TR"/>
            </w:rPr>
          </w:pPr>
          <w:hyperlink w:anchor="_Toc130312696" w:history="1">
            <w:r w:rsidRPr="00FA7D9A">
              <w:rPr>
                <w:rStyle w:val="Hyperlink"/>
                <w:noProof/>
              </w:rPr>
              <w:t>4.6. (Ek:14.05.2015 tarih ve 12/588 sayılı Kurul Kararı ile) Unvanında “İştirak” İbaresi Yer Alan Fonlara İlişkin Esaslar</w:t>
            </w:r>
            <w:r>
              <w:rPr>
                <w:noProof/>
                <w:webHidden/>
              </w:rPr>
              <w:tab/>
            </w:r>
            <w:r>
              <w:rPr>
                <w:noProof/>
                <w:webHidden/>
              </w:rPr>
              <w:fldChar w:fldCharType="begin"/>
            </w:r>
            <w:r>
              <w:rPr>
                <w:noProof/>
                <w:webHidden/>
              </w:rPr>
              <w:instrText xml:space="preserve"> PAGEREF _Toc130312696 \h </w:instrText>
            </w:r>
            <w:r>
              <w:rPr>
                <w:noProof/>
                <w:webHidden/>
              </w:rPr>
            </w:r>
            <w:r>
              <w:rPr>
                <w:noProof/>
                <w:webHidden/>
              </w:rPr>
              <w:fldChar w:fldCharType="separate"/>
            </w:r>
            <w:r>
              <w:rPr>
                <w:noProof/>
                <w:webHidden/>
              </w:rPr>
              <w:t>28</w:t>
            </w:r>
            <w:r>
              <w:rPr>
                <w:noProof/>
                <w:webHidden/>
              </w:rPr>
              <w:fldChar w:fldCharType="end"/>
            </w:r>
          </w:hyperlink>
        </w:p>
        <w:p w:rsidR="00077E82" w:rsidRDefault="00077E82">
          <w:pPr>
            <w:pStyle w:val="TOC2"/>
            <w:rPr>
              <w:rFonts w:eastAsiaTheme="minorEastAsia"/>
              <w:noProof/>
              <w:lang w:eastAsia="tr-TR"/>
            </w:rPr>
          </w:pPr>
          <w:hyperlink w:anchor="_Toc130312697" w:history="1">
            <w:r w:rsidRPr="00FA7D9A">
              <w:rPr>
                <w:rStyle w:val="Hyperlink"/>
                <w:noProof/>
              </w:rPr>
              <w:t xml:space="preserve">4.7. (Ek:12.03.2019 tarih ve 16/347 sayılı Kurul Kararı ile) </w:t>
            </w:r>
            <w:r w:rsidRPr="00FA7D9A">
              <w:rPr>
                <w:rStyle w:val="Hyperlink"/>
                <w:rFonts w:eastAsia="Times New Roman"/>
                <w:noProof/>
                <w:lang w:eastAsia="tr-TR"/>
              </w:rPr>
              <w:t>(Değişiklik: 27.06.2019 tarih ve 38/864 sayılı Kurul Kararı ile) (13.02.2020 tarih ve 10/232 sayılı Kurul Kararı ile yürürlükten kaldırılmıştır.)</w:t>
            </w:r>
            <w:r>
              <w:rPr>
                <w:noProof/>
                <w:webHidden/>
              </w:rPr>
              <w:tab/>
            </w:r>
            <w:r>
              <w:rPr>
                <w:noProof/>
                <w:webHidden/>
              </w:rPr>
              <w:fldChar w:fldCharType="begin"/>
            </w:r>
            <w:r>
              <w:rPr>
                <w:noProof/>
                <w:webHidden/>
              </w:rPr>
              <w:instrText xml:space="preserve"> PAGEREF _Toc130312697 \h </w:instrText>
            </w:r>
            <w:r>
              <w:rPr>
                <w:noProof/>
                <w:webHidden/>
              </w:rPr>
            </w:r>
            <w:r>
              <w:rPr>
                <w:noProof/>
                <w:webHidden/>
              </w:rPr>
              <w:fldChar w:fldCharType="separate"/>
            </w:r>
            <w:r>
              <w:rPr>
                <w:noProof/>
                <w:webHidden/>
              </w:rPr>
              <w:t>28</w:t>
            </w:r>
            <w:r>
              <w:rPr>
                <w:noProof/>
                <w:webHidden/>
              </w:rPr>
              <w:fldChar w:fldCharType="end"/>
            </w:r>
          </w:hyperlink>
        </w:p>
        <w:p w:rsidR="00077E82" w:rsidRDefault="00077E82">
          <w:pPr>
            <w:pStyle w:val="TOC2"/>
            <w:rPr>
              <w:rFonts w:eastAsiaTheme="minorEastAsia"/>
              <w:noProof/>
              <w:lang w:eastAsia="tr-TR"/>
            </w:rPr>
          </w:pPr>
          <w:hyperlink w:anchor="_Toc130312698" w:history="1">
            <w:r w:rsidRPr="00FA7D9A">
              <w:rPr>
                <w:rStyle w:val="Hyperlink"/>
                <w:noProof/>
              </w:rPr>
              <w:t>4.8. (Ek:02.06.2020 tarih ve 33/673 sayılı Kurul Kararı ile) (24.12.2020 tarih ve 78/1612 sayılı Kurul Kararı ile yürürlükten kaldırılmıştır.)</w:t>
            </w:r>
            <w:r>
              <w:rPr>
                <w:noProof/>
                <w:webHidden/>
              </w:rPr>
              <w:tab/>
            </w:r>
            <w:r>
              <w:rPr>
                <w:noProof/>
                <w:webHidden/>
              </w:rPr>
              <w:fldChar w:fldCharType="begin"/>
            </w:r>
            <w:r>
              <w:rPr>
                <w:noProof/>
                <w:webHidden/>
              </w:rPr>
              <w:instrText xml:space="preserve"> PAGEREF _Toc130312698 \h </w:instrText>
            </w:r>
            <w:r>
              <w:rPr>
                <w:noProof/>
                <w:webHidden/>
              </w:rPr>
            </w:r>
            <w:r>
              <w:rPr>
                <w:noProof/>
                <w:webHidden/>
              </w:rPr>
              <w:fldChar w:fldCharType="separate"/>
            </w:r>
            <w:r>
              <w:rPr>
                <w:noProof/>
                <w:webHidden/>
              </w:rPr>
              <w:t>28</w:t>
            </w:r>
            <w:r>
              <w:rPr>
                <w:noProof/>
                <w:webHidden/>
              </w:rPr>
              <w:fldChar w:fldCharType="end"/>
            </w:r>
          </w:hyperlink>
        </w:p>
        <w:p w:rsidR="00077E82" w:rsidRDefault="00077E82">
          <w:pPr>
            <w:pStyle w:val="TOC2"/>
            <w:rPr>
              <w:rFonts w:eastAsiaTheme="minorEastAsia"/>
              <w:noProof/>
              <w:lang w:eastAsia="tr-TR"/>
            </w:rPr>
          </w:pPr>
          <w:hyperlink w:anchor="_Toc130312699" w:history="1">
            <w:r w:rsidRPr="00FA7D9A">
              <w:rPr>
                <w:rStyle w:val="Hyperlink"/>
                <w:noProof/>
              </w:rPr>
              <w:t xml:space="preserve">4.9. (Ek:06.01.2022 tarih ve 1/21 sayılı Kurul Kararı ile)  </w:t>
            </w:r>
            <w:r w:rsidRPr="00FA7D9A">
              <w:rPr>
                <w:rStyle w:val="Hyperlink"/>
                <w:rFonts w:cs="Times New Roman"/>
                <w:noProof/>
              </w:rPr>
              <w:t>Para Piyasası Fonlarına İlişkin Esaslar</w:t>
            </w:r>
            <w:r>
              <w:rPr>
                <w:noProof/>
                <w:webHidden/>
              </w:rPr>
              <w:tab/>
            </w:r>
            <w:r>
              <w:rPr>
                <w:noProof/>
                <w:webHidden/>
              </w:rPr>
              <w:fldChar w:fldCharType="begin"/>
            </w:r>
            <w:r>
              <w:rPr>
                <w:noProof/>
                <w:webHidden/>
              </w:rPr>
              <w:instrText xml:space="preserve"> PAGEREF _Toc130312699 \h </w:instrText>
            </w:r>
            <w:r>
              <w:rPr>
                <w:noProof/>
                <w:webHidden/>
              </w:rPr>
            </w:r>
            <w:r>
              <w:rPr>
                <w:noProof/>
                <w:webHidden/>
              </w:rPr>
              <w:fldChar w:fldCharType="separate"/>
            </w:r>
            <w:r>
              <w:rPr>
                <w:noProof/>
                <w:webHidden/>
              </w:rPr>
              <w:t>28</w:t>
            </w:r>
            <w:r>
              <w:rPr>
                <w:noProof/>
                <w:webHidden/>
              </w:rPr>
              <w:fldChar w:fldCharType="end"/>
            </w:r>
          </w:hyperlink>
        </w:p>
        <w:p w:rsidR="00077E82" w:rsidRDefault="00077E82">
          <w:pPr>
            <w:pStyle w:val="TOC1"/>
            <w:rPr>
              <w:rFonts w:eastAsiaTheme="minorEastAsia"/>
              <w:noProof/>
              <w:lang w:eastAsia="tr-TR"/>
            </w:rPr>
          </w:pPr>
          <w:hyperlink w:anchor="_Toc130312700" w:history="1">
            <w:r w:rsidRPr="00FA7D9A">
              <w:rPr>
                <w:rStyle w:val="Hyperlink"/>
                <w:noProof/>
              </w:rPr>
              <w:t>5. Fon Portföyündeki Varlıkların Değerleme Esasları</w:t>
            </w:r>
            <w:r>
              <w:rPr>
                <w:noProof/>
                <w:webHidden/>
              </w:rPr>
              <w:tab/>
            </w:r>
            <w:r>
              <w:rPr>
                <w:noProof/>
                <w:webHidden/>
              </w:rPr>
              <w:fldChar w:fldCharType="begin"/>
            </w:r>
            <w:r>
              <w:rPr>
                <w:noProof/>
                <w:webHidden/>
              </w:rPr>
              <w:instrText xml:space="preserve"> PAGEREF _Toc130312700 \h </w:instrText>
            </w:r>
            <w:r>
              <w:rPr>
                <w:noProof/>
                <w:webHidden/>
              </w:rPr>
            </w:r>
            <w:r>
              <w:rPr>
                <w:noProof/>
                <w:webHidden/>
              </w:rPr>
              <w:fldChar w:fldCharType="separate"/>
            </w:r>
            <w:r>
              <w:rPr>
                <w:noProof/>
                <w:webHidden/>
              </w:rPr>
              <w:t>29</w:t>
            </w:r>
            <w:r>
              <w:rPr>
                <w:noProof/>
                <w:webHidden/>
              </w:rPr>
              <w:fldChar w:fldCharType="end"/>
            </w:r>
          </w:hyperlink>
        </w:p>
        <w:p w:rsidR="00077E82" w:rsidRDefault="00077E82">
          <w:pPr>
            <w:pStyle w:val="TOC2"/>
            <w:rPr>
              <w:rFonts w:eastAsiaTheme="minorEastAsia"/>
              <w:noProof/>
              <w:lang w:eastAsia="tr-TR"/>
            </w:rPr>
          </w:pPr>
          <w:hyperlink w:anchor="_Toc130312701" w:history="1">
            <w:r w:rsidRPr="00FA7D9A">
              <w:rPr>
                <w:rStyle w:val="Hyperlink"/>
                <w:rFonts w:eastAsia="Times New Roman"/>
                <w:noProof/>
                <w:lang w:eastAsia="tr-TR"/>
              </w:rPr>
              <w:t>5.1. Sırası Kapatılan Ortaklık Payları ile İhraççısı Temerrüde Düşen ya da Borsada İşlem Görmekten Men Edilen Özel Sektör Borçlanma Araçlarına İlişkin Değerleme Esasları</w:t>
            </w:r>
            <w:r>
              <w:rPr>
                <w:noProof/>
                <w:webHidden/>
              </w:rPr>
              <w:tab/>
            </w:r>
            <w:r>
              <w:rPr>
                <w:noProof/>
                <w:webHidden/>
              </w:rPr>
              <w:fldChar w:fldCharType="begin"/>
            </w:r>
            <w:r>
              <w:rPr>
                <w:noProof/>
                <w:webHidden/>
              </w:rPr>
              <w:instrText xml:space="preserve"> PAGEREF _Toc130312701 \h </w:instrText>
            </w:r>
            <w:r>
              <w:rPr>
                <w:noProof/>
                <w:webHidden/>
              </w:rPr>
            </w:r>
            <w:r>
              <w:rPr>
                <w:noProof/>
                <w:webHidden/>
              </w:rPr>
              <w:fldChar w:fldCharType="separate"/>
            </w:r>
            <w:r>
              <w:rPr>
                <w:noProof/>
                <w:webHidden/>
              </w:rPr>
              <w:t>29</w:t>
            </w:r>
            <w:r>
              <w:rPr>
                <w:noProof/>
                <w:webHidden/>
              </w:rPr>
              <w:fldChar w:fldCharType="end"/>
            </w:r>
          </w:hyperlink>
        </w:p>
        <w:p w:rsidR="00077E82" w:rsidRDefault="00077E82">
          <w:pPr>
            <w:pStyle w:val="TOC3"/>
            <w:rPr>
              <w:rFonts w:eastAsiaTheme="minorEastAsia"/>
              <w:noProof/>
              <w:lang w:eastAsia="tr-TR"/>
            </w:rPr>
          </w:pPr>
          <w:hyperlink w:anchor="_Toc130312702" w:history="1">
            <w:r w:rsidRPr="00FA7D9A">
              <w:rPr>
                <w:rStyle w:val="Hyperlink"/>
                <w:rFonts w:eastAsia="Times New Roman"/>
                <w:noProof/>
                <w:lang w:eastAsia="tr-TR"/>
              </w:rPr>
              <w:t>5.1.1. Sırası Kapatılan Ortaklık Paylarına ilişkin Değerleme Esasları</w:t>
            </w:r>
            <w:r>
              <w:rPr>
                <w:noProof/>
                <w:webHidden/>
              </w:rPr>
              <w:tab/>
            </w:r>
            <w:r>
              <w:rPr>
                <w:noProof/>
                <w:webHidden/>
              </w:rPr>
              <w:fldChar w:fldCharType="begin"/>
            </w:r>
            <w:r>
              <w:rPr>
                <w:noProof/>
                <w:webHidden/>
              </w:rPr>
              <w:instrText xml:space="preserve"> PAGEREF _Toc130312702 \h </w:instrText>
            </w:r>
            <w:r>
              <w:rPr>
                <w:noProof/>
                <w:webHidden/>
              </w:rPr>
            </w:r>
            <w:r>
              <w:rPr>
                <w:noProof/>
                <w:webHidden/>
              </w:rPr>
              <w:fldChar w:fldCharType="separate"/>
            </w:r>
            <w:r>
              <w:rPr>
                <w:noProof/>
                <w:webHidden/>
              </w:rPr>
              <w:t>29</w:t>
            </w:r>
            <w:r>
              <w:rPr>
                <w:noProof/>
                <w:webHidden/>
              </w:rPr>
              <w:fldChar w:fldCharType="end"/>
            </w:r>
          </w:hyperlink>
        </w:p>
        <w:p w:rsidR="00077E82" w:rsidRDefault="00077E82">
          <w:pPr>
            <w:pStyle w:val="TOC2"/>
            <w:rPr>
              <w:rFonts w:eastAsiaTheme="minorEastAsia"/>
              <w:noProof/>
              <w:lang w:eastAsia="tr-TR"/>
            </w:rPr>
          </w:pPr>
          <w:hyperlink w:anchor="_Toc130312703" w:history="1">
            <w:r w:rsidRPr="00FA7D9A">
              <w:rPr>
                <w:rStyle w:val="Hyperlink"/>
                <w:rFonts w:eastAsia="Times New Roman"/>
                <w:noProof/>
                <w:lang w:eastAsia="tr-TR"/>
              </w:rPr>
              <w:t xml:space="preserve">5.1.2. </w:t>
            </w:r>
            <w:r w:rsidRPr="00FA7D9A">
              <w:rPr>
                <w:rStyle w:val="Hyperlink"/>
                <w:noProof/>
              </w:rPr>
              <w:t xml:space="preserve">(Ek:15.02.2016 tarih ve 5/172 sayılı Kurul Kararı ile) (Değişiklik: 23.08.2017 tarih ve 32/1091 sayılı Kurul Kararı ile) (Değişiklik: 29.09.2017 tarih ve 35/1201 sayılı Kurul Kararı ile) (Değişiklik: 01.03.2018 tarih ve 9/316 sayılı Kurul Kararı ile) </w:t>
            </w:r>
            <w:r w:rsidRPr="00FA7D9A">
              <w:rPr>
                <w:rStyle w:val="Hyperlink"/>
                <w:bCs/>
                <w:noProof/>
              </w:rPr>
              <w:t>İhraççısı Temerrüde Düşen, Borsada İşlem Görmekten Men Edilen veya Yeniden Yapılandırılan Özel Sektör Borçlanma Araçlarına İlişkin Esaslar</w:t>
            </w:r>
            <w:r>
              <w:rPr>
                <w:noProof/>
                <w:webHidden/>
              </w:rPr>
              <w:tab/>
            </w:r>
            <w:r>
              <w:rPr>
                <w:noProof/>
                <w:webHidden/>
              </w:rPr>
              <w:fldChar w:fldCharType="begin"/>
            </w:r>
            <w:r>
              <w:rPr>
                <w:noProof/>
                <w:webHidden/>
              </w:rPr>
              <w:instrText xml:space="preserve"> PAGEREF _Toc130312703 \h </w:instrText>
            </w:r>
            <w:r>
              <w:rPr>
                <w:noProof/>
                <w:webHidden/>
              </w:rPr>
            </w:r>
            <w:r>
              <w:rPr>
                <w:noProof/>
                <w:webHidden/>
              </w:rPr>
              <w:fldChar w:fldCharType="separate"/>
            </w:r>
            <w:r>
              <w:rPr>
                <w:noProof/>
                <w:webHidden/>
              </w:rPr>
              <w:t>30</w:t>
            </w:r>
            <w:r>
              <w:rPr>
                <w:noProof/>
                <w:webHidden/>
              </w:rPr>
              <w:fldChar w:fldCharType="end"/>
            </w:r>
          </w:hyperlink>
        </w:p>
        <w:p w:rsidR="00077E82" w:rsidRDefault="00077E82">
          <w:pPr>
            <w:pStyle w:val="TOC2"/>
            <w:rPr>
              <w:rFonts w:eastAsiaTheme="minorEastAsia"/>
              <w:noProof/>
              <w:lang w:eastAsia="tr-TR"/>
            </w:rPr>
          </w:pPr>
          <w:hyperlink w:anchor="_Toc130312704" w:history="1">
            <w:r w:rsidRPr="00FA7D9A">
              <w:rPr>
                <w:rStyle w:val="Hyperlink"/>
                <w:rFonts w:eastAsia="Times New Roman"/>
                <w:noProof/>
                <w:lang w:eastAsia="tr-TR"/>
              </w:rPr>
              <w:t>5.2. Borsa Dışında Taraf Olunan Türev Araç ve Swap Sözleşmelerine İlişkin Değerleme Esasları</w:t>
            </w:r>
            <w:r>
              <w:rPr>
                <w:noProof/>
                <w:webHidden/>
              </w:rPr>
              <w:tab/>
            </w:r>
            <w:r>
              <w:rPr>
                <w:noProof/>
                <w:webHidden/>
              </w:rPr>
              <w:fldChar w:fldCharType="begin"/>
            </w:r>
            <w:r>
              <w:rPr>
                <w:noProof/>
                <w:webHidden/>
              </w:rPr>
              <w:instrText xml:space="preserve"> PAGEREF _Toc130312704 \h </w:instrText>
            </w:r>
            <w:r>
              <w:rPr>
                <w:noProof/>
                <w:webHidden/>
              </w:rPr>
            </w:r>
            <w:r>
              <w:rPr>
                <w:noProof/>
                <w:webHidden/>
              </w:rPr>
              <w:fldChar w:fldCharType="separate"/>
            </w:r>
            <w:r>
              <w:rPr>
                <w:noProof/>
                <w:webHidden/>
              </w:rPr>
              <w:t>30</w:t>
            </w:r>
            <w:r>
              <w:rPr>
                <w:noProof/>
                <w:webHidden/>
              </w:rPr>
              <w:fldChar w:fldCharType="end"/>
            </w:r>
          </w:hyperlink>
        </w:p>
        <w:p w:rsidR="00077E82" w:rsidRDefault="00077E82">
          <w:pPr>
            <w:pStyle w:val="TOC2"/>
            <w:rPr>
              <w:rFonts w:eastAsiaTheme="minorEastAsia"/>
              <w:noProof/>
              <w:lang w:eastAsia="tr-TR"/>
            </w:rPr>
          </w:pPr>
          <w:hyperlink w:anchor="_Toc130312705" w:history="1">
            <w:r w:rsidRPr="00FA7D9A">
              <w:rPr>
                <w:rStyle w:val="Hyperlink"/>
                <w:noProof/>
              </w:rPr>
              <w:t>5.3. İleri Valörlü İşlemlerin Değerleme Esasları</w:t>
            </w:r>
            <w:r>
              <w:rPr>
                <w:noProof/>
                <w:webHidden/>
              </w:rPr>
              <w:tab/>
            </w:r>
            <w:r>
              <w:rPr>
                <w:noProof/>
                <w:webHidden/>
              </w:rPr>
              <w:fldChar w:fldCharType="begin"/>
            </w:r>
            <w:r>
              <w:rPr>
                <w:noProof/>
                <w:webHidden/>
              </w:rPr>
              <w:instrText xml:space="preserve"> PAGEREF _Toc130312705 \h </w:instrText>
            </w:r>
            <w:r>
              <w:rPr>
                <w:noProof/>
                <w:webHidden/>
              </w:rPr>
            </w:r>
            <w:r>
              <w:rPr>
                <w:noProof/>
                <w:webHidden/>
              </w:rPr>
              <w:fldChar w:fldCharType="separate"/>
            </w:r>
            <w:r>
              <w:rPr>
                <w:noProof/>
                <w:webHidden/>
              </w:rPr>
              <w:t>31</w:t>
            </w:r>
            <w:r>
              <w:rPr>
                <w:noProof/>
                <w:webHidden/>
              </w:rPr>
              <w:fldChar w:fldCharType="end"/>
            </w:r>
          </w:hyperlink>
        </w:p>
        <w:p w:rsidR="00077E82" w:rsidRDefault="00077E82">
          <w:pPr>
            <w:pStyle w:val="TOC2"/>
            <w:rPr>
              <w:rFonts w:eastAsiaTheme="minorEastAsia"/>
              <w:noProof/>
              <w:lang w:eastAsia="tr-TR"/>
            </w:rPr>
          </w:pPr>
          <w:hyperlink w:anchor="_Toc130312706" w:history="1">
            <w:r w:rsidRPr="00FA7D9A">
              <w:rPr>
                <w:rStyle w:val="Hyperlink"/>
                <w:rFonts w:eastAsia="Times New Roman"/>
                <w:noProof/>
                <w:lang w:eastAsia="tr-TR"/>
              </w:rPr>
              <w:t xml:space="preserve">5.4. </w:t>
            </w:r>
            <w:r w:rsidRPr="00FA7D9A">
              <w:rPr>
                <w:rStyle w:val="Hyperlink"/>
                <w:noProof/>
              </w:rPr>
              <w:t>(Değişiklik:</w:t>
            </w:r>
            <w:r w:rsidRPr="00FA7D9A">
              <w:rPr>
                <w:rStyle w:val="Hyperlink"/>
                <w:rFonts w:eastAsia="Times New Roman" w:cs="Times New Roman"/>
                <w:noProof/>
                <w:lang w:eastAsia="tr-TR"/>
              </w:rPr>
              <w:t xml:space="preserve"> 21.03.2023 tarih ve 17/366 sayılı Kurul Kararı ile</w:t>
            </w:r>
            <w:r w:rsidRPr="00FA7D9A">
              <w:rPr>
                <w:rStyle w:val="Hyperlink"/>
                <w:noProof/>
              </w:rPr>
              <w:t xml:space="preserve">) </w:t>
            </w:r>
            <w:r w:rsidRPr="00FA7D9A">
              <w:rPr>
                <w:rStyle w:val="Hyperlink"/>
                <w:rFonts w:eastAsia="Times New Roman"/>
                <w:noProof/>
                <w:lang w:eastAsia="tr-TR"/>
              </w:rPr>
              <w:t>İleri Valörlü Altın İşlemlerinin Değerleme Esasları</w:t>
            </w:r>
            <w:r>
              <w:rPr>
                <w:noProof/>
                <w:webHidden/>
              </w:rPr>
              <w:tab/>
            </w:r>
            <w:r>
              <w:rPr>
                <w:noProof/>
                <w:webHidden/>
              </w:rPr>
              <w:fldChar w:fldCharType="begin"/>
            </w:r>
            <w:r>
              <w:rPr>
                <w:noProof/>
                <w:webHidden/>
              </w:rPr>
              <w:instrText xml:space="preserve"> PAGEREF _Toc130312706 \h </w:instrText>
            </w:r>
            <w:r>
              <w:rPr>
                <w:noProof/>
                <w:webHidden/>
              </w:rPr>
            </w:r>
            <w:r>
              <w:rPr>
                <w:noProof/>
                <w:webHidden/>
              </w:rPr>
              <w:fldChar w:fldCharType="separate"/>
            </w:r>
            <w:r>
              <w:rPr>
                <w:noProof/>
                <w:webHidden/>
              </w:rPr>
              <w:t>31</w:t>
            </w:r>
            <w:r>
              <w:rPr>
                <w:noProof/>
                <w:webHidden/>
              </w:rPr>
              <w:fldChar w:fldCharType="end"/>
            </w:r>
          </w:hyperlink>
        </w:p>
        <w:p w:rsidR="00077E82" w:rsidRDefault="00077E82">
          <w:pPr>
            <w:pStyle w:val="TOC2"/>
            <w:rPr>
              <w:rFonts w:eastAsiaTheme="minorEastAsia"/>
              <w:noProof/>
              <w:lang w:eastAsia="tr-TR"/>
            </w:rPr>
          </w:pPr>
          <w:hyperlink w:anchor="_Toc130312707" w:history="1">
            <w:r w:rsidRPr="00FA7D9A">
              <w:rPr>
                <w:rStyle w:val="Hyperlink"/>
                <w:rFonts w:eastAsia="Times New Roman"/>
                <w:noProof/>
                <w:lang w:eastAsia="tr-TR"/>
              </w:rPr>
              <w:t>5.5. Vadeli İşlem Sözleşmelerinin Değerleme Esasları</w:t>
            </w:r>
            <w:r>
              <w:rPr>
                <w:noProof/>
                <w:webHidden/>
              </w:rPr>
              <w:tab/>
            </w:r>
            <w:r>
              <w:rPr>
                <w:noProof/>
                <w:webHidden/>
              </w:rPr>
              <w:fldChar w:fldCharType="begin"/>
            </w:r>
            <w:r>
              <w:rPr>
                <w:noProof/>
                <w:webHidden/>
              </w:rPr>
              <w:instrText xml:space="preserve"> PAGEREF _Toc130312707 \h </w:instrText>
            </w:r>
            <w:r>
              <w:rPr>
                <w:noProof/>
                <w:webHidden/>
              </w:rPr>
            </w:r>
            <w:r>
              <w:rPr>
                <w:noProof/>
                <w:webHidden/>
              </w:rPr>
              <w:fldChar w:fldCharType="separate"/>
            </w:r>
            <w:r>
              <w:rPr>
                <w:noProof/>
                <w:webHidden/>
              </w:rPr>
              <w:t>32</w:t>
            </w:r>
            <w:r>
              <w:rPr>
                <w:noProof/>
                <w:webHidden/>
              </w:rPr>
              <w:fldChar w:fldCharType="end"/>
            </w:r>
          </w:hyperlink>
        </w:p>
        <w:p w:rsidR="00077E82" w:rsidRDefault="00077E82">
          <w:pPr>
            <w:pStyle w:val="TOC2"/>
            <w:rPr>
              <w:rFonts w:eastAsiaTheme="minorEastAsia"/>
              <w:noProof/>
              <w:lang w:eastAsia="tr-TR"/>
            </w:rPr>
          </w:pPr>
          <w:hyperlink w:anchor="_Toc130312708" w:history="1">
            <w:r w:rsidRPr="00FA7D9A">
              <w:rPr>
                <w:rStyle w:val="Hyperlink"/>
                <w:noProof/>
              </w:rPr>
              <w:t>5.6. (Ek:13.06.2016 tarih ve 19/658 sayılı Kurul Kararı ile) Serbest Fonlara İlişkin Değerleme Esasları</w:t>
            </w:r>
            <w:r>
              <w:rPr>
                <w:noProof/>
                <w:webHidden/>
              </w:rPr>
              <w:tab/>
            </w:r>
            <w:r>
              <w:rPr>
                <w:noProof/>
                <w:webHidden/>
              </w:rPr>
              <w:fldChar w:fldCharType="begin"/>
            </w:r>
            <w:r>
              <w:rPr>
                <w:noProof/>
                <w:webHidden/>
              </w:rPr>
              <w:instrText xml:space="preserve"> PAGEREF _Toc130312708 \h </w:instrText>
            </w:r>
            <w:r>
              <w:rPr>
                <w:noProof/>
                <w:webHidden/>
              </w:rPr>
            </w:r>
            <w:r>
              <w:rPr>
                <w:noProof/>
                <w:webHidden/>
              </w:rPr>
              <w:fldChar w:fldCharType="separate"/>
            </w:r>
            <w:r>
              <w:rPr>
                <w:noProof/>
                <w:webHidden/>
              </w:rPr>
              <w:t>32</w:t>
            </w:r>
            <w:r>
              <w:rPr>
                <w:noProof/>
                <w:webHidden/>
              </w:rPr>
              <w:fldChar w:fldCharType="end"/>
            </w:r>
          </w:hyperlink>
        </w:p>
        <w:p w:rsidR="00077E82" w:rsidRDefault="00077E82">
          <w:pPr>
            <w:pStyle w:val="TOC1"/>
            <w:rPr>
              <w:rFonts w:eastAsiaTheme="minorEastAsia"/>
              <w:noProof/>
              <w:lang w:eastAsia="tr-TR"/>
            </w:rPr>
          </w:pPr>
          <w:hyperlink w:anchor="_Toc130312709" w:history="1">
            <w:r w:rsidRPr="00FA7D9A">
              <w:rPr>
                <w:rStyle w:val="Hyperlink"/>
                <w:rFonts w:eastAsia="Times New Roman" w:cs="Times New Roman"/>
                <w:noProof/>
                <w:lang w:eastAsia="tr-TR"/>
              </w:rPr>
              <w:t>6. Katılma Paylarının Alım-Satımı</w:t>
            </w:r>
            <w:r>
              <w:rPr>
                <w:noProof/>
                <w:webHidden/>
              </w:rPr>
              <w:tab/>
            </w:r>
            <w:r>
              <w:rPr>
                <w:noProof/>
                <w:webHidden/>
              </w:rPr>
              <w:fldChar w:fldCharType="begin"/>
            </w:r>
            <w:r>
              <w:rPr>
                <w:noProof/>
                <w:webHidden/>
              </w:rPr>
              <w:instrText xml:space="preserve"> PAGEREF _Toc130312709 \h </w:instrText>
            </w:r>
            <w:r>
              <w:rPr>
                <w:noProof/>
                <w:webHidden/>
              </w:rPr>
            </w:r>
            <w:r>
              <w:rPr>
                <w:noProof/>
                <w:webHidden/>
              </w:rPr>
              <w:fldChar w:fldCharType="separate"/>
            </w:r>
            <w:r>
              <w:rPr>
                <w:noProof/>
                <w:webHidden/>
              </w:rPr>
              <w:t>33</w:t>
            </w:r>
            <w:r>
              <w:rPr>
                <w:noProof/>
                <w:webHidden/>
              </w:rPr>
              <w:fldChar w:fldCharType="end"/>
            </w:r>
          </w:hyperlink>
        </w:p>
        <w:p w:rsidR="00077E82" w:rsidRDefault="00077E82">
          <w:pPr>
            <w:pStyle w:val="TOC2"/>
            <w:rPr>
              <w:rFonts w:eastAsiaTheme="minorEastAsia"/>
              <w:noProof/>
              <w:lang w:eastAsia="tr-TR"/>
            </w:rPr>
          </w:pPr>
          <w:hyperlink w:anchor="_Toc130312710" w:history="1">
            <w:r w:rsidRPr="00FA7D9A">
              <w:rPr>
                <w:rStyle w:val="Hyperlink"/>
                <w:noProof/>
              </w:rPr>
              <w:t>6.1. Satılacak Katılma Payı Adedine İlişkin Üst Limit Belirlenmesi</w:t>
            </w:r>
            <w:r>
              <w:rPr>
                <w:noProof/>
                <w:webHidden/>
              </w:rPr>
              <w:tab/>
            </w:r>
            <w:r>
              <w:rPr>
                <w:noProof/>
                <w:webHidden/>
              </w:rPr>
              <w:fldChar w:fldCharType="begin"/>
            </w:r>
            <w:r>
              <w:rPr>
                <w:noProof/>
                <w:webHidden/>
              </w:rPr>
              <w:instrText xml:space="preserve"> PAGEREF _Toc130312710 \h </w:instrText>
            </w:r>
            <w:r>
              <w:rPr>
                <w:noProof/>
                <w:webHidden/>
              </w:rPr>
            </w:r>
            <w:r>
              <w:rPr>
                <w:noProof/>
                <w:webHidden/>
              </w:rPr>
              <w:fldChar w:fldCharType="separate"/>
            </w:r>
            <w:r>
              <w:rPr>
                <w:noProof/>
                <w:webHidden/>
              </w:rPr>
              <w:t>33</w:t>
            </w:r>
            <w:r>
              <w:rPr>
                <w:noProof/>
                <w:webHidden/>
              </w:rPr>
              <w:fldChar w:fldCharType="end"/>
            </w:r>
          </w:hyperlink>
        </w:p>
        <w:p w:rsidR="00077E82" w:rsidRDefault="00077E82">
          <w:pPr>
            <w:pStyle w:val="TOC2"/>
            <w:rPr>
              <w:rFonts w:eastAsiaTheme="minorEastAsia"/>
              <w:noProof/>
              <w:lang w:eastAsia="tr-TR"/>
            </w:rPr>
          </w:pPr>
          <w:hyperlink w:anchor="_Toc130312711" w:history="1">
            <w:r w:rsidRPr="00FA7D9A">
              <w:rPr>
                <w:rStyle w:val="Hyperlink"/>
                <w:noProof/>
              </w:rPr>
              <w:t>6.2. Küsurat İşlemleri</w:t>
            </w:r>
            <w:r>
              <w:rPr>
                <w:noProof/>
                <w:webHidden/>
              </w:rPr>
              <w:tab/>
            </w:r>
            <w:r>
              <w:rPr>
                <w:noProof/>
                <w:webHidden/>
              </w:rPr>
              <w:fldChar w:fldCharType="begin"/>
            </w:r>
            <w:r>
              <w:rPr>
                <w:noProof/>
                <w:webHidden/>
              </w:rPr>
              <w:instrText xml:space="preserve"> PAGEREF _Toc130312711 \h </w:instrText>
            </w:r>
            <w:r>
              <w:rPr>
                <w:noProof/>
                <w:webHidden/>
              </w:rPr>
            </w:r>
            <w:r>
              <w:rPr>
                <w:noProof/>
                <w:webHidden/>
              </w:rPr>
              <w:fldChar w:fldCharType="separate"/>
            </w:r>
            <w:r>
              <w:rPr>
                <w:noProof/>
                <w:webHidden/>
              </w:rPr>
              <w:t>33</w:t>
            </w:r>
            <w:r>
              <w:rPr>
                <w:noProof/>
                <w:webHidden/>
              </w:rPr>
              <w:fldChar w:fldCharType="end"/>
            </w:r>
          </w:hyperlink>
        </w:p>
        <w:p w:rsidR="00077E82" w:rsidRDefault="00077E82">
          <w:pPr>
            <w:pStyle w:val="TOC2"/>
            <w:rPr>
              <w:rFonts w:eastAsiaTheme="minorEastAsia"/>
              <w:noProof/>
              <w:lang w:eastAsia="tr-TR"/>
            </w:rPr>
          </w:pPr>
          <w:hyperlink w:anchor="_Toc130312712" w:history="1">
            <w:r w:rsidRPr="00FA7D9A">
              <w:rPr>
                <w:rStyle w:val="Hyperlink"/>
                <w:noProof/>
                <w:lang w:eastAsia="tr-TR"/>
              </w:rPr>
              <w:t>6.3. Pay Bölünmesi</w:t>
            </w:r>
            <w:r>
              <w:rPr>
                <w:noProof/>
                <w:webHidden/>
              </w:rPr>
              <w:tab/>
            </w:r>
            <w:r>
              <w:rPr>
                <w:noProof/>
                <w:webHidden/>
              </w:rPr>
              <w:fldChar w:fldCharType="begin"/>
            </w:r>
            <w:r>
              <w:rPr>
                <w:noProof/>
                <w:webHidden/>
              </w:rPr>
              <w:instrText xml:space="preserve"> PAGEREF _Toc130312712 \h </w:instrText>
            </w:r>
            <w:r>
              <w:rPr>
                <w:noProof/>
                <w:webHidden/>
              </w:rPr>
            </w:r>
            <w:r>
              <w:rPr>
                <w:noProof/>
                <w:webHidden/>
              </w:rPr>
              <w:fldChar w:fldCharType="separate"/>
            </w:r>
            <w:r>
              <w:rPr>
                <w:noProof/>
                <w:webHidden/>
              </w:rPr>
              <w:t>33</w:t>
            </w:r>
            <w:r>
              <w:rPr>
                <w:noProof/>
                <w:webHidden/>
              </w:rPr>
              <w:fldChar w:fldCharType="end"/>
            </w:r>
          </w:hyperlink>
        </w:p>
        <w:p w:rsidR="00077E82" w:rsidRDefault="00077E82">
          <w:pPr>
            <w:pStyle w:val="TOC2"/>
            <w:rPr>
              <w:rFonts w:eastAsiaTheme="minorEastAsia"/>
              <w:noProof/>
              <w:lang w:eastAsia="tr-TR"/>
            </w:rPr>
          </w:pPr>
          <w:hyperlink w:anchor="_Toc130312713" w:history="1">
            <w:r w:rsidRPr="00FA7D9A">
              <w:rPr>
                <w:rStyle w:val="Hyperlink"/>
                <w:noProof/>
              </w:rPr>
              <w:t>6.4. Katılma Payı Alım Satımında Altın Kullanımı</w:t>
            </w:r>
            <w:r>
              <w:rPr>
                <w:noProof/>
                <w:webHidden/>
              </w:rPr>
              <w:tab/>
            </w:r>
            <w:r>
              <w:rPr>
                <w:noProof/>
                <w:webHidden/>
              </w:rPr>
              <w:fldChar w:fldCharType="begin"/>
            </w:r>
            <w:r>
              <w:rPr>
                <w:noProof/>
                <w:webHidden/>
              </w:rPr>
              <w:instrText xml:space="preserve"> PAGEREF _Toc130312713 \h </w:instrText>
            </w:r>
            <w:r>
              <w:rPr>
                <w:noProof/>
                <w:webHidden/>
              </w:rPr>
            </w:r>
            <w:r>
              <w:rPr>
                <w:noProof/>
                <w:webHidden/>
              </w:rPr>
              <w:fldChar w:fldCharType="separate"/>
            </w:r>
            <w:r>
              <w:rPr>
                <w:noProof/>
                <w:webHidden/>
              </w:rPr>
              <w:t>33</w:t>
            </w:r>
            <w:r>
              <w:rPr>
                <w:noProof/>
                <w:webHidden/>
              </w:rPr>
              <w:fldChar w:fldCharType="end"/>
            </w:r>
          </w:hyperlink>
        </w:p>
        <w:p w:rsidR="00077E82" w:rsidRDefault="00077E82">
          <w:pPr>
            <w:pStyle w:val="TOC2"/>
            <w:rPr>
              <w:rFonts w:eastAsiaTheme="minorEastAsia"/>
              <w:noProof/>
              <w:lang w:eastAsia="tr-TR"/>
            </w:rPr>
          </w:pPr>
          <w:hyperlink w:anchor="_Toc130312714" w:history="1">
            <w:r w:rsidRPr="00FA7D9A">
              <w:rPr>
                <w:rStyle w:val="Hyperlink"/>
                <w:noProof/>
              </w:rPr>
              <w:t>6.5. (Değişiklik: 01.03.2018 tarih ve 9/316 sayılı Kurul Kararı ile) Promosyon</w:t>
            </w:r>
            <w:r>
              <w:rPr>
                <w:noProof/>
                <w:webHidden/>
              </w:rPr>
              <w:tab/>
            </w:r>
            <w:r>
              <w:rPr>
                <w:noProof/>
                <w:webHidden/>
              </w:rPr>
              <w:fldChar w:fldCharType="begin"/>
            </w:r>
            <w:r>
              <w:rPr>
                <w:noProof/>
                <w:webHidden/>
              </w:rPr>
              <w:instrText xml:space="preserve"> PAGEREF _Toc130312714 \h </w:instrText>
            </w:r>
            <w:r>
              <w:rPr>
                <w:noProof/>
                <w:webHidden/>
              </w:rPr>
            </w:r>
            <w:r>
              <w:rPr>
                <w:noProof/>
                <w:webHidden/>
              </w:rPr>
              <w:fldChar w:fldCharType="separate"/>
            </w:r>
            <w:r>
              <w:rPr>
                <w:noProof/>
                <w:webHidden/>
              </w:rPr>
              <w:t>34</w:t>
            </w:r>
            <w:r>
              <w:rPr>
                <w:noProof/>
                <w:webHidden/>
              </w:rPr>
              <w:fldChar w:fldCharType="end"/>
            </w:r>
          </w:hyperlink>
        </w:p>
        <w:p w:rsidR="00077E82" w:rsidRDefault="00077E82">
          <w:pPr>
            <w:pStyle w:val="TOC2"/>
            <w:rPr>
              <w:rFonts w:eastAsiaTheme="minorEastAsia"/>
              <w:noProof/>
              <w:lang w:eastAsia="tr-TR"/>
            </w:rPr>
          </w:pPr>
          <w:hyperlink w:anchor="_Toc130312715" w:history="1">
            <w:r w:rsidRPr="00FA7D9A">
              <w:rPr>
                <w:rStyle w:val="Hyperlink"/>
                <w:noProof/>
              </w:rPr>
              <w:t>6.6. Nemalandırma</w:t>
            </w:r>
            <w:r>
              <w:rPr>
                <w:noProof/>
                <w:webHidden/>
              </w:rPr>
              <w:tab/>
            </w:r>
            <w:r>
              <w:rPr>
                <w:noProof/>
                <w:webHidden/>
              </w:rPr>
              <w:fldChar w:fldCharType="begin"/>
            </w:r>
            <w:r>
              <w:rPr>
                <w:noProof/>
                <w:webHidden/>
              </w:rPr>
              <w:instrText xml:space="preserve"> PAGEREF _Toc130312715 \h </w:instrText>
            </w:r>
            <w:r>
              <w:rPr>
                <w:noProof/>
                <w:webHidden/>
              </w:rPr>
            </w:r>
            <w:r>
              <w:rPr>
                <w:noProof/>
                <w:webHidden/>
              </w:rPr>
              <w:fldChar w:fldCharType="separate"/>
            </w:r>
            <w:r>
              <w:rPr>
                <w:noProof/>
                <w:webHidden/>
              </w:rPr>
              <w:t>35</w:t>
            </w:r>
            <w:r>
              <w:rPr>
                <w:noProof/>
                <w:webHidden/>
              </w:rPr>
              <w:fldChar w:fldCharType="end"/>
            </w:r>
          </w:hyperlink>
        </w:p>
        <w:p w:rsidR="00077E82" w:rsidRDefault="00077E82">
          <w:pPr>
            <w:pStyle w:val="TOC2"/>
            <w:rPr>
              <w:rFonts w:eastAsiaTheme="minorEastAsia"/>
              <w:noProof/>
              <w:lang w:eastAsia="tr-TR"/>
            </w:rPr>
          </w:pPr>
          <w:hyperlink w:anchor="_Toc130312716" w:history="1">
            <w:r w:rsidRPr="00FA7D9A">
              <w:rPr>
                <w:rStyle w:val="Hyperlink"/>
                <w:noProof/>
              </w:rPr>
              <w:t>6.7. Katılma Paylarına İlişkin MKK Nezdinde Yatırımcı Blokajı</w:t>
            </w:r>
            <w:r>
              <w:rPr>
                <w:noProof/>
                <w:webHidden/>
              </w:rPr>
              <w:tab/>
            </w:r>
            <w:r>
              <w:rPr>
                <w:noProof/>
                <w:webHidden/>
              </w:rPr>
              <w:fldChar w:fldCharType="begin"/>
            </w:r>
            <w:r>
              <w:rPr>
                <w:noProof/>
                <w:webHidden/>
              </w:rPr>
              <w:instrText xml:space="preserve"> PAGEREF _Toc130312716 \h </w:instrText>
            </w:r>
            <w:r>
              <w:rPr>
                <w:noProof/>
                <w:webHidden/>
              </w:rPr>
            </w:r>
            <w:r>
              <w:rPr>
                <w:noProof/>
                <w:webHidden/>
              </w:rPr>
              <w:fldChar w:fldCharType="separate"/>
            </w:r>
            <w:r>
              <w:rPr>
                <w:noProof/>
                <w:webHidden/>
              </w:rPr>
              <w:t>35</w:t>
            </w:r>
            <w:r>
              <w:rPr>
                <w:noProof/>
                <w:webHidden/>
              </w:rPr>
              <w:fldChar w:fldCharType="end"/>
            </w:r>
          </w:hyperlink>
        </w:p>
        <w:p w:rsidR="00077E82" w:rsidRDefault="00077E82">
          <w:pPr>
            <w:pStyle w:val="TOC2"/>
            <w:rPr>
              <w:rFonts w:eastAsiaTheme="minorEastAsia"/>
              <w:noProof/>
              <w:lang w:eastAsia="tr-TR"/>
            </w:rPr>
          </w:pPr>
          <w:hyperlink w:anchor="_Toc130312717" w:history="1">
            <w:r w:rsidRPr="00FA7D9A">
              <w:rPr>
                <w:rStyle w:val="Hyperlink"/>
                <w:noProof/>
              </w:rPr>
              <w:t>6.8. (Değişiklik: 09.05.2019 tarih ve 27/621 sayılı Kurul Kararı ile) (Değişiklik: 05.12.2019 tarih ve 70/1567 sayılı Kurul Kararı ile) (Değişiklik: 13.02.2020 tarih ve 10/232 sayılı Kurul Kararı ile) TEFAS</w:t>
            </w:r>
            <w:r>
              <w:rPr>
                <w:noProof/>
                <w:webHidden/>
              </w:rPr>
              <w:tab/>
            </w:r>
            <w:r>
              <w:rPr>
                <w:noProof/>
                <w:webHidden/>
              </w:rPr>
              <w:fldChar w:fldCharType="begin"/>
            </w:r>
            <w:r>
              <w:rPr>
                <w:noProof/>
                <w:webHidden/>
              </w:rPr>
              <w:instrText xml:space="preserve"> PAGEREF _Toc130312717 \h </w:instrText>
            </w:r>
            <w:r>
              <w:rPr>
                <w:noProof/>
                <w:webHidden/>
              </w:rPr>
            </w:r>
            <w:r>
              <w:rPr>
                <w:noProof/>
                <w:webHidden/>
              </w:rPr>
              <w:fldChar w:fldCharType="separate"/>
            </w:r>
            <w:r>
              <w:rPr>
                <w:noProof/>
                <w:webHidden/>
              </w:rPr>
              <w:t>35</w:t>
            </w:r>
            <w:r>
              <w:rPr>
                <w:noProof/>
                <w:webHidden/>
              </w:rPr>
              <w:fldChar w:fldCharType="end"/>
            </w:r>
          </w:hyperlink>
        </w:p>
        <w:p w:rsidR="00077E82" w:rsidRDefault="00077E82">
          <w:pPr>
            <w:pStyle w:val="TOC2"/>
            <w:rPr>
              <w:rFonts w:eastAsiaTheme="minorEastAsia"/>
              <w:noProof/>
              <w:lang w:eastAsia="tr-TR"/>
            </w:rPr>
          </w:pPr>
          <w:hyperlink w:anchor="_Toc130312718" w:history="1">
            <w:r w:rsidRPr="00FA7D9A">
              <w:rPr>
                <w:rStyle w:val="Hyperlink"/>
                <w:noProof/>
              </w:rPr>
              <w:t>6.9. (Ek: 23.01.2015 tarih ve 2/32 sayılı Kurul Kararı ile.) Katılma Paylarının Kredi Kartı ile Alımı</w:t>
            </w:r>
            <w:r>
              <w:rPr>
                <w:noProof/>
                <w:webHidden/>
              </w:rPr>
              <w:tab/>
            </w:r>
            <w:r>
              <w:rPr>
                <w:noProof/>
                <w:webHidden/>
              </w:rPr>
              <w:fldChar w:fldCharType="begin"/>
            </w:r>
            <w:r>
              <w:rPr>
                <w:noProof/>
                <w:webHidden/>
              </w:rPr>
              <w:instrText xml:space="preserve"> PAGEREF _Toc130312718 \h </w:instrText>
            </w:r>
            <w:r>
              <w:rPr>
                <w:noProof/>
                <w:webHidden/>
              </w:rPr>
            </w:r>
            <w:r>
              <w:rPr>
                <w:noProof/>
                <w:webHidden/>
              </w:rPr>
              <w:fldChar w:fldCharType="separate"/>
            </w:r>
            <w:r>
              <w:rPr>
                <w:noProof/>
                <w:webHidden/>
              </w:rPr>
              <w:t>37</w:t>
            </w:r>
            <w:r>
              <w:rPr>
                <w:noProof/>
                <w:webHidden/>
              </w:rPr>
              <w:fldChar w:fldCharType="end"/>
            </w:r>
          </w:hyperlink>
        </w:p>
        <w:p w:rsidR="00077E82" w:rsidRDefault="00077E82">
          <w:pPr>
            <w:pStyle w:val="TOC2"/>
            <w:rPr>
              <w:rFonts w:eastAsiaTheme="minorEastAsia"/>
              <w:noProof/>
              <w:lang w:eastAsia="tr-TR"/>
            </w:rPr>
          </w:pPr>
          <w:hyperlink w:anchor="_Toc130312719" w:history="1">
            <w:r w:rsidRPr="00FA7D9A">
              <w:rPr>
                <w:rStyle w:val="Hyperlink"/>
                <w:noProof/>
              </w:rPr>
              <w:t>6.10. (Ek: 15.09.2015 tarih ve 26/1184 sayılı Kurul Kararı ile) Fon Katılma Payı Alım Satımının Yabancı Para Birimi Cinsinden Gerçekleştirilmesi</w:t>
            </w:r>
            <w:r>
              <w:rPr>
                <w:noProof/>
                <w:webHidden/>
              </w:rPr>
              <w:tab/>
            </w:r>
            <w:r>
              <w:rPr>
                <w:noProof/>
                <w:webHidden/>
              </w:rPr>
              <w:fldChar w:fldCharType="begin"/>
            </w:r>
            <w:r>
              <w:rPr>
                <w:noProof/>
                <w:webHidden/>
              </w:rPr>
              <w:instrText xml:space="preserve"> PAGEREF _Toc130312719 \h </w:instrText>
            </w:r>
            <w:r>
              <w:rPr>
                <w:noProof/>
                <w:webHidden/>
              </w:rPr>
            </w:r>
            <w:r>
              <w:rPr>
                <w:noProof/>
                <w:webHidden/>
              </w:rPr>
              <w:fldChar w:fldCharType="separate"/>
            </w:r>
            <w:r>
              <w:rPr>
                <w:noProof/>
                <w:webHidden/>
              </w:rPr>
              <w:t>37</w:t>
            </w:r>
            <w:r>
              <w:rPr>
                <w:noProof/>
                <w:webHidden/>
              </w:rPr>
              <w:fldChar w:fldCharType="end"/>
            </w:r>
          </w:hyperlink>
        </w:p>
        <w:p w:rsidR="00077E82" w:rsidRDefault="00077E82">
          <w:pPr>
            <w:pStyle w:val="TOC2"/>
            <w:rPr>
              <w:rFonts w:eastAsiaTheme="minorEastAsia"/>
              <w:noProof/>
              <w:lang w:eastAsia="tr-TR"/>
            </w:rPr>
          </w:pPr>
          <w:hyperlink w:anchor="_Toc130312720" w:history="1">
            <w:r w:rsidRPr="00FA7D9A">
              <w:rPr>
                <w:rStyle w:val="Hyperlink"/>
                <w:noProof/>
              </w:rPr>
              <w:t>6.11. (Ek: 02.10.2015 tarih ve 27/1199 sayılı Kurul Kararı ile) Para Piyasası Fonları İle Kısa Vadeli Borçlanma Araçları Fonlarının Katılma Paylarının Alım Satımına İlişkin Esaslar</w:t>
            </w:r>
            <w:r>
              <w:rPr>
                <w:noProof/>
                <w:webHidden/>
              </w:rPr>
              <w:tab/>
            </w:r>
            <w:r>
              <w:rPr>
                <w:noProof/>
                <w:webHidden/>
              </w:rPr>
              <w:fldChar w:fldCharType="begin"/>
            </w:r>
            <w:r>
              <w:rPr>
                <w:noProof/>
                <w:webHidden/>
              </w:rPr>
              <w:instrText xml:space="preserve"> PAGEREF _Toc130312720 \h </w:instrText>
            </w:r>
            <w:r>
              <w:rPr>
                <w:noProof/>
                <w:webHidden/>
              </w:rPr>
            </w:r>
            <w:r>
              <w:rPr>
                <w:noProof/>
                <w:webHidden/>
              </w:rPr>
              <w:fldChar w:fldCharType="separate"/>
            </w:r>
            <w:r>
              <w:rPr>
                <w:noProof/>
                <w:webHidden/>
              </w:rPr>
              <w:t>37</w:t>
            </w:r>
            <w:r>
              <w:rPr>
                <w:noProof/>
                <w:webHidden/>
              </w:rPr>
              <w:fldChar w:fldCharType="end"/>
            </w:r>
          </w:hyperlink>
        </w:p>
        <w:p w:rsidR="00077E82" w:rsidRDefault="00077E82">
          <w:pPr>
            <w:pStyle w:val="TOC1"/>
            <w:rPr>
              <w:rFonts w:eastAsiaTheme="minorEastAsia"/>
              <w:noProof/>
              <w:lang w:eastAsia="tr-TR"/>
            </w:rPr>
          </w:pPr>
          <w:hyperlink w:anchor="_Toc130312721" w:history="1">
            <w:r w:rsidRPr="00FA7D9A">
              <w:rPr>
                <w:rStyle w:val="Hyperlink"/>
                <w:noProof/>
              </w:rPr>
              <w:t>7. Risk Yönetim Sistemine İlişkin Esaslar</w:t>
            </w:r>
            <w:r>
              <w:rPr>
                <w:noProof/>
                <w:webHidden/>
              </w:rPr>
              <w:tab/>
            </w:r>
            <w:r>
              <w:rPr>
                <w:noProof/>
                <w:webHidden/>
              </w:rPr>
              <w:fldChar w:fldCharType="begin"/>
            </w:r>
            <w:r>
              <w:rPr>
                <w:noProof/>
                <w:webHidden/>
              </w:rPr>
              <w:instrText xml:space="preserve"> PAGEREF _Toc130312721 \h </w:instrText>
            </w:r>
            <w:r>
              <w:rPr>
                <w:noProof/>
                <w:webHidden/>
              </w:rPr>
            </w:r>
            <w:r>
              <w:rPr>
                <w:noProof/>
                <w:webHidden/>
              </w:rPr>
              <w:fldChar w:fldCharType="separate"/>
            </w:r>
            <w:r>
              <w:rPr>
                <w:noProof/>
                <w:webHidden/>
              </w:rPr>
              <w:t>37</w:t>
            </w:r>
            <w:r>
              <w:rPr>
                <w:noProof/>
                <w:webHidden/>
              </w:rPr>
              <w:fldChar w:fldCharType="end"/>
            </w:r>
          </w:hyperlink>
        </w:p>
        <w:p w:rsidR="00077E82" w:rsidRDefault="00077E82">
          <w:pPr>
            <w:pStyle w:val="TOC2"/>
            <w:rPr>
              <w:rFonts w:eastAsiaTheme="minorEastAsia"/>
              <w:noProof/>
              <w:lang w:eastAsia="tr-TR"/>
            </w:rPr>
          </w:pPr>
          <w:hyperlink w:anchor="_Toc130312722" w:history="1">
            <w:r w:rsidRPr="00FA7D9A">
              <w:rPr>
                <w:rStyle w:val="Hyperlink"/>
                <w:noProof/>
              </w:rPr>
              <w:t>7.1. Genel Esaslar</w:t>
            </w:r>
            <w:r>
              <w:rPr>
                <w:noProof/>
                <w:webHidden/>
              </w:rPr>
              <w:tab/>
            </w:r>
            <w:r>
              <w:rPr>
                <w:noProof/>
                <w:webHidden/>
              </w:rPr>
              <w:fldChar w:fldCharType="begin"/>
            </w:r>
            <w:r>
              <w:rPr>
                <w:noProof/>
                <w:webHidden/>
              </w:rPr>
              <w:instrText xml:space="preserve"> PAGEREF _Toc130312722 \h </w:instrText>
            </w:r>
            <w:r>
              <w:rPr>
                <w:noProof/>
                <w:webHidden/>
              </w:rPr>
            </w:r>
            <w:r>
              <w:rPr>
                <w:noProof/>
                <w:webHidden/>
              </w:rPr>
              <w:fldChar w:fldCharType="separate"/>
            </w:r>
            <w:r>
              <w:rPr>
                <w:noProof/>
                <w:webHidden/>
              </w:rPr>
              <w:t>37</w:t>
            </w:r>
            <w:r>
              <w:rPr>
                <w:noProof/>
                <w:webHidden/>
              </w:rPr>
              <w:fldChar w:fldCharType="end"/>
            </w:r>
          </w:hyperlink>
        </w:p>
        <w:p w:rsidR="00077E82" w:rsidRDefault="00077E82">
          <w:pPr>
            <w:pStyle w:val="TOC3"/>
            <w:rPr>
              <w:rFonts w:eastAsiaTheme="minorEastAsia"/>
              <w:noProof/>
              <w:lang w:eastAsia="tr-TR"/>
            </w:rPr>
          </w:pPr>
          <w:hyperlink w:anchor="_Toc130312723" w:history="1">
            <w:r w:rsidRPr="00FA7D9A">
              <w:rPr>
                <w:rStyle w:val="Hyperlink"/>
                <w:noProof/>
              </w:rPr>
              <w:t>7.1.1. Risk yönetim birimi</w:t>
            </w:r>
            <w:r>
              <w:rPr>
                <w:noProof/>
                <w:webHidden/>
              </w:rPr>
              <w:tab/>
            </w:r>
            <w:r>
              <w:rPr>
                <w:noProof/>
                <w:webHidden/>
              </w:rPr>
              <w:fldChar w:fldCharType="begin"/>
            </w:r>
            <w:r>
              <w:rPr>
                <w:noProof/>
                <w:webHidden/>
              </w:rPr>
              <w:instrText xml:space="preserve"> PAGEREF _Toc130312723 \h </w:instrText>
            </w:r>
            <w:r>
              <w:rPr>
                <w:noProof/>
                <w:webHidden/>
              </w:rPr>
            </w:r>
            <w:r>
              <w:rPr>
                <w:noProof/>
                <w:webHidden/>
              </w:rPr>
              <w:fldChar w:fldCharType="separate"/>
            </w:r>
            <w:r>
              <w:rPr>
                <w:noProof/>
                <w:webHidden/>
              </w:rPr>
              <w:t>37</w:t>
            </w:r>
            <w:r>
              <w:rPr>
                <w:noProof/>
                <w:webHidden/>
              </w:rPr>
              <w:fldChar w:fldCharType="end"/>
            </w:r>
          </w:hyperlink>
        </w:p>
        <w:p w:rsidR="00077E82" w:rsidRDefault="00077E82">
          <w:pPr>
            <w:pStyle w:val="TOC3"/>
            <w:rPr>
              <w:rFonts w:eastAsiaTheme="minorEastAsia"/>
              <w:noProof/>
              <w:lang w:eastAsia="tr-TR"/>
            </w:rPr>
          </w:pPr>
          <w:hyperlink w:anchor="_Toc130312724" w:history="1">
            <w:r w:rsidRPr="00FA7D9A">
              <w:rPr>
                <w:rStyle w:val="Hyperlink"/>
                <w:noProof/>
              </w:rPr>
              <w:t>7.1.2. Risk Yönetim Prosedürleri</w:t>
            </w:r>
            <w:r>
              <w:rPr>
                <w:noProof/>
                <w:webHidden/>
              </w:rPr>
              <w:tab/>
            </w:r>
            <w:r>
              <w:rPr>
                <w:noProof/>
                <w:webHidden/>
              </w:rPr>
              <w:fldChar w:fldCharType="begin"/>
            </w:r>
            <w:r>
              <w:rPr>
                <w:noProof/>
                <w:webHidden/>
              </w:rPr>
              <w:instrText xml:space="preserve"> PAGEREF _Toc130312724 \h </w:instrText>
            </w:r>
            <w:r>
              <w:rPr>
                <w:noProof/>
                <w:webHidden/>
              </w:rPr>
            </w:r>
            <w:r>
              <w:rPr>
                <w:noProof/>
                <w:webHidden/>
              </w:rPr>
              <w:fldChar w:fldCharType="separate"/>
            </w:r>
            <w:r>
              <w:rPr>
                <w:noProof/>
                <w:webHidden/>
              </w:rPr>
              <w:t>38</w:t>
            </w:r>
            <w:r>
              <w:rPr>
                <w:noProof/>
                <w:webHidden/>
              </w:rPr>
              <w:fldChar w:fldCharType="end"/>
            </w:r>
          </w:hyperlink>
        </w:p>
        <w:p w:rsidR="00077E82" w:rsidRDefault="00077E82">
          <w:pPr>
            <w:pStyle w:val="TOC2"/>
            <w:rPr>
              <w:rFonts w:eastAsiaTheme="minorEastAsia"/>
              <w:noProof/>
              <w:lang w:eastAsia="tr-TR"/>
            </w:rPr>
          </w:pPr>
          <w:hyperlink w:anchor="_Toc130312725" w:history="1">
            <w:r w:rsidRPr="00FA7D9A">
              <w:rPr>
                <w:rStyle w:val="Hyperlink"/>
                <w:noProof/>
              </w:rPr>
              <w:t>7.2. Kaldıraç Yaratan İşlemlere İlişkin Esaslar</w:t>
            </w:r>
            <w:r>
              <w:rPr>
                <w:noProof/>
                <w:webHidden/>
              </w:rPr>
              <w:tab/>
            </w:r>
            <w:r>
              <w:rPr>
                <w:noProof/>
                <w:webHidden/>
              </w:rPr>
              <w:fldChar w:fldCharType="begin"/>
            </w:r>
            <w:r>
              <w:rPr>
                <w:noProof/>
                <w:webHidden/>
              </w:rPr>
              <w:instrText xml:space="preserve"> PAGEREF _Toc130312725 \h </w:instrText>
            </w:r>
            <w:r>
              <w:rPr>
                <w:noProof/>
                <w:webHidden/>
              </w:rPr>
            </w:r>
            <w:r>
              <w:rPr>
                <w:noProof/>
                <w:webHidden/>
              </w:rPr>
              <w:fldChar w:fldCharType="separate"/>
            </w:r>
            <w:r>
              <w:rPr>
                <w:noProof/>
                <w:webHidden/>
              </w:rPr>
              <w:t>38</w:t>
            </w:r>
            <w:r>
              <w:rPr>
                <w:noProof/>
                <w:webHidden/>
              </w:rPr>
              <w:fldChar w:fldCharType="end"/>
            </w:r>
          </w:hyperlink>
        </w:p>
        <w:p w:rsidR="00077E82" w:rsidRDefault="00077E82">
          <w:pPr>
            <w:pStyle w:val="TOC3"/>
            <w:rPr>
              <w:rFonts w:eastAsiaTheme="minorEastAsia"/>
              <w:noProof/>
              <w:lang w:eastAsia="tr-TR"/>
            </w:rPr>
          </w:pPr>
          <w:hyperlink w:anchor="_Toc130312726" w:history="1">
            <w:r w:rsidRPr="00FA7D9A">
              <w:rPr>
                <w:rStyle w:val="Hyperlink"/>
                <w:noProof/>
              </w:rPr>
              <w:t>7.2.1. Kaldıraç Yaratan İşlem</w:t>
            </w:r>
            <w:r>
              <w:rPr>
                <w:noProof/>
                <w:webHidden/>
              </w:rPr>
              <w:tab/>
            </w:r>
            <w:r>
              <w:rPr>
                <w:noProof/>
                <w:webHidden/>
              </w:rPr>
              <w:fldChar w:fldCharType="begin"/>
            </w:r>
            <w:r>
              <w:rPr>
                <w:noProof/>
                <w:webHidden/>
              </w:rPr>
              <w:instrText xml:space="preserve"> PAGEREF _Toc130312726 \h </w:instrText>
            </w:r>
            <w:r>
              <w:rPr>
                <w:noProof/>
                <w:webHidden/>
              </w:rPr>
            </w:r>
            <w:r>
              <w:rPr>
                <w:noProof/>
                <w:webHidden/>
              </w:rPr>
              <w:fldChar w:fldCharType="separate"/>
            </w:r>
            <w:r>
              <w:rPr>
                <w:noProof/>
                <w:webHidden/>
              </w:rPr>
              <w:t>39</w:t>
            </w:r>
            <w:r>
              <w:rPr>
                <w:noProof/>
                <w:webHidden/>
              </w:rPr>
              <w:fldChar w:fldCharType="end"/>
            </w:r>
          </w:hyperlink>
        </w:p>
        <w:p w:rsidR="00077E82" w:rsidRDefault="00077E82">
          <w:pPr>
            <w:pStyle w:val="TOC3"/>
            <w:rPr>
              <w:rFonts w:eastAsiaTheme="minorEastAsia"/>
              <w:noProof/>
              <w:lang w:eastAsia="tr-TR"/>
            </w:rPr>
          </w:pPr>
          <w:hyperlink w:anchor="_Toc130312727" w:history="1">
            <w:r w:rsidRPr="00FA7D9A">
              <w:rPr>
                <w:rStyle w:val="Hyperlink"/>
                <w:rFonts w:eastAsia="Times New Roman"/>
                <w:noProof/>
                <w:lang w:eastAsia="tr-TR"/>
              </w:rPr>
              <w:t>7.2.2. Kaldıraç Yaratan İşlemlere İlişkin Genel İlkeler</w:t>
            </w:r>
            <w:r>
              <w:rPr>
                <w:noProof/>
                <w:webHidden/>
              </w:rPr>
              <w:tab/>
            </w:r>
            <w:r>
              <w:rPr>
                <w:noProof/>
                <w:webHidden/>
              </w:rPr>
              <w:fldChar w:fldCharType="begin"/>
            </w:r>
            <w:r>
              <w:rPr>
                <w:noProof/>
                <w:webHidden/>
              </w:rPr>
              <w:instrText xml:space="preserve"> PAGEREF _Toc130312727 \h </w:instrText>
            </w:r>
            <w:r>
              <w:rPr>
                <w:noProof/>
                <w:webHidden/>
              </w:rPr>
            </w:r>
            <w:r>
              <w:rPr>
                <w:noProof/>
                <w:webHidden/>
              </w:rPr>
              <w:fldChar w:fldCharType="separate"/>
            </w:r>
            <w:r>
              <w:rPr>
                <w:noProof/>
                <w:webHidden/>
              </w:rPr>
              <w:t>39</w:t>
            </w:r>
            <w:r>
              <w:rPr>
                <w:noProof/>
                <w:webHidden/>
              </w:rPr>
              <w:fldChar w:fldCharType="end"/>
            </w:r>
          </w:hyperlink>
        </w:p>
        <w:p w:rsidR="00077E82" w:rsidRDefault="00077E82">
          <w:pPr>
            <w:pStyle w:val="TOC2"/>
            <w:rPr>
              <w:rFonts w:eastAsiaTheme="minorEastAsia"/>
              <w:noProof/>
              <w:lang w:eastAsia="tr-TR"/>
            </w:rPr>
          </w:pPr>
          <w:hyperlink w:anchor="_Toc130312728" w:history="1">
            <w:r w:rsidRPr="00FA7D9A">
              <w:rPr>
                <w:rStyle w:val="Hyperlink"/>
                <w:noProof/>
              </w:rPr>
              <w:t>7.3. Dayanak Varlıklara İlişkin Esaslar</w:t>
            </w:r>
            <w:r>
              <w:rPr>
                <w:noProof/>
                <w:webHidden/>
              </w:rPr>
              <w:tab/>
            </w:r>
            <w:r>
              <w:rPr>
                <w:noProof/>
                <w:webHidden/>
              </w:rPr>
              <w:fldChar w:fldCharType="begin"/>
            </w:r>
            <w:r>
              <w:rPr>
                <w:noProof/>
                <w:webHidden/>
              </w:rPr>
              <w:instrText xml:space="preserve"> PAGEREF _Toc130312728 \h </w:instrText>
            </w:r>
            <w:r>
              <w:rPr>
                <w:noProof/>
                <w:webHidden/>
              </w:rPr>
            </w:r>
            <w:r>
              <w:rPr>
                <w:noProof/>
                <w:webHidden/>
              </w:rPr>
              <w:fldChar w:fldCharType="separate"/>
            </w:r>
            <w:r>
              <w:rPr>
                <w:noProof/>
                <w:webHidden/>
              </w:rPr>
              <w:t>39</w:t>
            </w:r>
            <w:r>
              <w:rPr>
                <w:noProof/>
                <w:webHidden/>
              </w:rPr>
              <w:fldChar w:fldCharType="end"/>
            </w:r>
          </w:hyperlink>
        </w:p>
        <w:p w:rsidR="00077E82" w:rsidRDefault="00077E82">
          <w:pPr>
            <w:pStyle w:val="TOC2"/>
            <w:rPr>
              <w:rFonts w:eastAsiaTheme="minorEastAsia"/>
              <w:noProof/>
              <w:lang w:eastAsia="tr-TR"/>
            </w:rPr>
          </w:pPr>
          <w:hyperlink w:anchor="_Toc130312729" w:history="1">
            <w:r w:rsidRPr="00FA7D9A">
              <w:rPr>
                <w:rStyle w:val="Hyperlink"/>
                <w:noProof/>
              </w:rPr>
              <w:t xml:space="preserve">7.4. </w:t>
            </w:r>
            <w:r w:rsidRPr="00FA7D9A">
              <w:rPr>
                <w:rStyle w:val="Hyperlink"/>
                <w:rFonts w:eastAsia="Times New Roman"/>
                <w:noProof/>
                <w:lang w:eastAsia="tr-TR"/>
              </w:rPr>
              <w:t>Borsa Dışında Taraf Olunan Türev Araç ve Swap Sözleşmelerine İlişkin Esaslar</w:t>
            </w:r>
            <w:r>
              <w:rPr>
                <w:noProof/>
                <w:webHidden/>
              </w:rPr>
              <w:tab/>
            </w:r>
            <w:r>
              <w:rPr>
                <w:noProof/>
                <w:webHidden/>
              </w:rPr>
              <w:fldChar w:fldCharType="begin"/>
            </w:r>
            <w:r>
              <w:rPr>
                <w:noProof/>
                <w:webHidden/>
              </w:rPr>
              <w:instrText xml:space="preserve"> PAGEREF _Toc130312729 \h </w:instrText>
            </w:r>
            <w:r>
              <w:rPr>
                <w:noProof/>
                <w:webHidden/>
              </w:rPr>
            </w:r>
            <w:r>
              <w:rPr>
                <w:noProof/>
                <w:webHidden/>
              </w:rPr>
              <w:fldChar w:fldCharType="separate"/>
            </w:r>
            <w:r>
              <w:rPr>
                <w:noProof/>
                <w:webHidden/>
              </w:rPr>
              <w:t>40</w:t>
            </w:r>
            <w:r>
              <w:rPr>
                <w:noProof/>
                <w:webHidden/>
              </w:rPr>
              <w:fldChar w:fldCharType="end"/>
            </w:r>
          </w:hyperlink>
        </w:p>
        <w:p w:rsidR="00077E82" w:rsidRDefault="00077E82">
          <w:pPr>
            <w:pStyle w:val="TOC2"/>
            <w:rPr>
              <w:rFonts w:eastAsiaTheme="minorEastAsia"/>
              <w:noProof/>
              <w:lang w:eastAsia="tr-TR"/>
            </w:rPr>
          </w:pPr>
          <w:hyperlink w:anchor="_Toc130312730" w:history="1">
            <w:r w:rsidRPr="00FA7D9A">
              <w:rPr>
                <w:rStyle w:val="Hyperlink"/>
                <w:noProof/>
              </w:rPr>
              <w:t>7.5. Açık Pozisyonun Ölçümü</w:t>
            </w:r>
            <w:r>
              <w:rPr>
                <w:noProof/>
                <w:webHidden/>
              </w:rPr>
              <w:tab/>
            </w:r>
            <w:r>
              <w:rPr>
                <w:noProof/>
                <w:webHidden/>
              </w:rPr>
              <w:fldChar w:fldCharType="begin"/>
            </w:r>
            <w:r>
              <w:rPr>
                <w:noProof/>
                <w:webHidden/>
              </w:rPr>
              <w:instrText xml:space="preserve"> PAGEREF _Toc130312730 \h </w:instrText>
            </w:r>
            <w:r>
              <w:rPr>
                <w:noProof/>
                <w:webHidden/>
              </w:rPr>
            </w:r>
            <w:r>
              <w:rPr>
                <w:noProof/>
                <w:webHidden/>
              </w:rPr>
              <w:fldChar w:fldCharType="separate"/>
            </w:r>
            <w:r>
              <w:rPr>
                <w:noProof/>
                <w:webHidden/>
              </w:rPr>
              <w:t>40</w:t>
            </w:r>
            <w:r>
              <w:rPr>
                <w:noProof/>
                <w:webHidden/>
              </w:rPr>
              <w:fldChar w:fldCharType="end"/>
            </w:r>
          </w:hyperlink>
        </w:p>
        <w:p w:rsidR="00077E82" w:rsidRDefault="00077E82">
          <w:pPr>
            <w:pStyle w:val="TOC3"/>
            <w:rPr>
              <w:rFonts w:eastAsiaTheme="minorEastAsia"/>
              <w:noProof/>
              <w:lang w:eastAsia="tr-TR"/>
            </w:rPr>
          </w:pPr>
          <w:hyperlink w:anchor="_Toc130312731" w:history="1">
            <w:r w:rsidRPr="00FA7D9A">
              <w:rPr>
                <w:rStyle w:val="Hyperlink"/>
                <w:noProof/>
              </w:rPr>
              <w:t xml:space="preserve">7.5.1. Standart Yöntem </w:t>
            </w:r>
            <w:r w:rsidRPr="00FA7D9A">
              <w:rPr>
                <w:rStyle w:val="Hyperlink"/>
                <w:rFonts w:cs="Times New Roman"/>
                <w:noProof/>
              </w:rPr>
              <w:t>(Commitment Approach)</w:t>
            </w:r>
            <w:r>
              <w:rPr>
                <w:noProof/>
                <w:webHidden/>
              </w:rPr>
              <w:tab/>
            </w:r>
            <w:r>
              <w:rPr>
                <w:noProof/>
                <w:webHidden/>
              </w:rPr>
              <w:fldChar w:fldCharType="begin"/>
            </w:r>
            <w:r>
              <w:rPr>
                <w:noProof/>
                <w:webHidden/>
              </w:rPr>
              <w:instrText xml:space="preserve"> PAGEREF _Toc130312731 \h </w:instrText>
            </w:r>
            <w:r>
              <w:rPr>
                <w:noProof/>
                <w:webHidden/>
              </w:rPr>
            </w:r>
            <w:r>
              <w:rPr>
                <w:noProof/>
                <w:webHidden/>
              </w:rPr>
              <w:fldChar w:fldCharType="separate"/>
            </w:r>
            <w:r>
              <w:rPr>
                <w:noProof/>
                <w:webHidden/>
              </w:rPr>
              <w:t>41</w:t>
            </w:r>
            <w:r>
              <w:rPr>
                <w:noProof/>
                <w:webHidden/>
              </w:rPr>
              <w:fldChar w:fldCharType="end"/>
            </w:r>
          </w:hyperlink>
        </w:p>
        <w:p w:rsidR="00077E82" w:rsidRDefault="00077E82">
          <w:pPr>
            <w:pStyle w:val="TOC3"/>
            <w:rPr>
              <w:rFonts w:eastAsiaTheme="minorEastAsia"/>
              <w:noProof/>
              <w:lang w:eastAsia="tr-TR"/>
            </w:rPr>
          </w:pPr>
          <w:hyperlink w:anchor="_Toc130312732" w:history="1">
            <w:r w:rsidRPr="00FA7D9A">
              <w:rPr>
                <w:rStyle w:val="Hyperlink"/>
                <w:noProof/>
              </w:rPr>
              <w:t>7.5.2. Kaldıraç Yaratan İşlemlere İlişkin Pozisyon Hesaplaması</w:t>
            </w:r>
            <w:r>
              <w:rPr>
                <w:noProof/>
                <w:webHidden/>
              </w:rPr>
              <w:tab/>
            </w:r>
            <w:r>
              <w:rPr>
                <w:noProof/>
                <w:webHidden/>
              </w:rPr>
              <w:fldChar w:fldCharType="begin"/>
            </w:r>
            <w:r>
              <w:rPr>
                <w:noProof/>
                <w:webHidden/>
              </w:rPr>
              <w:instrText xml:space="preserve"> PAGEREF _Toc130312732 \h </w:instrText>
            </w:r>
            <w:r>
              <w:rPr>
                <w:noProof/>
                <w:webHidden/>
              </w:rPr>
            </w:r>
            <w:r>
              <w:rPr>
                <w:noProof/>
                <w:webHidden/>
              </w:rPr>
              <w:fldChar w:fldCharType="separate"/>
            </w:r>
            <w:r>
              <w:rPr>
                <w:noProof/>
                <w:webHidden/>
              </w:rPr>
              <w:t>41</w:t>
            </w:r>
            <w:r>
              <w:rPr>
                <w:noProof/>
                <w:webHidden/>
              </w:rPr>
              <w:fldChar w:fldCharType="end"/>
            </w:r>
          </w:hyperlink>
        </w:p>
        <w:p w:rsidR="00077E82" w:rsidRDefault="00077E82">
          <w:pPr>
            <w:pStyle w:val="TOC3"/>
            <w:rPr>
              <w:rFonts w:eastAsiaTheme="minorEastAsia"/>
              <w:noProof/>
              <w:lang w:eastAsia="tr-TR"/>
            </w:rPr>
          </w:pPr>
          <w:hyperlink w:anchor="_Toc130312733" w:history="1">
            <w:r w:rsidRPr="00FA7D9A">
              <w:rPr>
                <w:rStyle w:val="Hyperlink"/>
                <w:noProof/>
              </w:rPr>
              <w:t>7.5.3. Netleştirme Esasları</w:t>
            </w:r>
            <w:r>
              <w:rPr>
                <w:noProof/>
                <w:webHidden/>
              </w:rPr>
              <w:tab/>
            </w:r>
            <w:r>
              <w:rPr>
                <w:noProof/>
                <w:webHidden/>
              </w:rPr>
              <w:fldChar w:fldCharType="begin"/>
            </w:r>
            <w:r>
              <w:rPr>
                <w:noProof/>
                <w:webHidden/>
              </w:rPr>
              <w:instrText xml:space="preserve"> PAGEREF _Toc130312733 \h </w:instrText>
            </w:r>
            <w:r>
              <w:rPr>
                <w:noProof/>
                <w:webHidden/>
              </w:rPr>
            </w:r>
            <w:r>
              <w:rPr>
                <w:noProof/>
                <w:webHidden/>
              </w:rPr>
              <w:fldChar w:fldCharType="separate"/>
            </w:r>
            <w:r>
              <w:rPr>
                <w:noProof/>
                <w:webHidden/>
              </w:rPr>
              <w:t>44</w:t>
            </w:r>
            <w:r>
              <w:rPr>
                <w:noProof/>
                <w:webHidden/>
              </w:rPr>
              <w:fldChar w:fldCharType="end"/>
            </w:r>
          </w:hyperlink>
        </w:p>
        <w:p w:rsidR="00077E82" w:rsidRDefault="00077E82">
          <w:pPr>
            <w:pStyle w:val="TOC3"/>
            <w:rPr>
              <w:rFonts w:eastAsiaTheme="minorEastAsia"/>
              <w:noProof/>
              <w:lang w:eastAsia="tr-TR"/>
            </w:rPr>
          </w:pPr>
          <w:hyperlink w:anchor="_Toc130312734" w:history="1">
            <w:r w:rsidRPr="00FA7D9A">
              <w:rPr>
                <w:rStyle w:val="Hyperlink"/>
                <w:noProof/>
              </w:rPr>
              <w:t>7.5.4. Riskten Korunma Esasları</w:t>
            </w:r>
            <w:r>
              <w:rPr>
                <w:noProof/>
                <w:webHidden/>
              </w:rPr>
              <w:tab/>
            </w:r>
            <w:r>
              <w:rPr>
                <w:noProof/>
                <w:webHidden/>
              </w:rPr>
              <w:fldChar w:fldCharType="begin"/>
            </w:r>
            <w:r>
              <w:rPr>
                <w:noProof/>
                <w:webHidden/>
              </w:rPr>
              <w:instrText xml:space="preserve"> PAGEREF _Toc130312734 \h </w:instrText>
            </w:r>
            <w:r>
              <w:rPr>
                <w:noProof/>
                <w:webHidden/>
              </w:rPr>
            </w:r>
            <w:r>
              <w:rPr>
                <w:noProof/>
                <w:webHidden/>
              </w:rPr>
              <w:fldChar w:fldCharType="separate"/>
            </w:r>
            <w:r>
              <w:rPr>
                <w:noProof/>
                <w:webHidden/>
              </w:rPr>
              <w:t>45</w:t>
            </w:r>
            <w:r>
              <w:rPr>
                <w:noProof/>
                <w:webHidden/>
              </w:rPr>
              <w:fldChar w:fldCharType="end"/>
            </w:r>
          </w:hyperlink>
        </w:p>
        <w:p w:rsidR="00077E82" w:rsidRDefault="00077E82">
          <w:pPr>
            <w:pStyle w:val="TOC2"/>
            <w:rPr>
              <w:rFonts w:eastAsiaTheme="minorEastAsia"/>
              <w:noProof/>
              <w:lang w:eastAsia="tr-TR"/>
            </w:rPr>
          </w:pPr>
          <w:hyperlink w:anchor="_Toc130312735" w:history="1">
            <w:r w:rsidRPr="00FA7D9A">
              <w:rPr>
                <w:rStyle w:val="Hyperlink"/>
                <w:noProof/>
              </w:rPr>
              <w:t>7.6. Riske Maruz Değer (RMD) Yöntemi</w:t>
            </w:r>
            <w:r>
              <w:rPr>
                <w:noProof/>
                <w:webHidden/>
              </w:rPr>
              <w:tab/>
            </w:r>
            <w:r>
              <w:rPr>
                <w:noProof/>
                <w:webHidden/>
              </w:rPr>
              <w:fldChar w:fldCharType="begin"/>
            </w:r>
            <w:r>
              <w:rPr>
                <w:noProof/>
                <w:webHidden/>
              </w:rPr>
              <w:instrText xml:space="preserve"> PAGEREF _Toc130312735 \h </w:instrText>
            </w:r>
            <w:r>
              <w:rPr>
                <w:noProof/>
                <w:webHidden/>
              </w:rPr>
            </w:r>
            <w:r>
              <w:rPr>
                <w:noProof/>
                <w:webHidden/>
              </w:rPr>
              <w:fldChar w:fldCharType="separate"/>
            </w:r>
            <w:r>
              <w:rPr>
                <w:noProof/>
                <w:webHidden/>
              </w:rPr>
              <w:t>45</w:t>
            </w:r>
            <w:r>
              <w:rPr>
                <w:noProof/>
                <w:webHidden/>
              </w:rPr>
              <w:fldChar w:fldCharType="end"/>
            </w:r>
          </w:hyperlink>
        </w:p>
        <w:p w:rsidR="00077E82" w:rsidRDefault="00077E82">
          <w:pPr>
            <w:pStyle w:val="TOC3"/>
            <w:rPr>
              <w:rFonts w:eastAsiaTheme="minorEastAsia"/>
              <w:noProof/>
              <w:lang w:eastAsia="tr-TR"/>
            </w:rPr>
          </w:pPr>
          <w:hyperlink w:anchor="_Toc130312736" w:history="1">
            <w:r w:rsidRPr="00FA7D9A">
              <w:rPr>
                <w:rStyle w:val="Hyperlink"/>
                <w:noProof/>
              </w:rPr>
              <w:t>7.6.1. Genel Esaslar</w:t>
            </w:r>
            <w:r>
              <w:rPr>
                <w:noProof/>
                <w:webHidden/>
              </w:rPr>
              <w:tab/>
            </w:r>
            <w:r>
              <w:rPr>
                <w:noProof/>
                <w:webHidden/>
              </w:rPr>
              <w:fldChar w:fldCharType="begin"/>
            </w:r>
            <w:r>
              <w:rPr>
                <w:noProof/>
                <w:webHidden/>
              </w:rPr>
              <w:instrText xml:space="preserve"> PAGEREF _Toc130312736 \h </w:instrText>
            </w:r>
            <w:r>
              <w:rPr>
                <w:noProof/>
                <w:webHidden/>
              </w:rPr>
            </w:r>
            <w:r>
              <w:rPr>
                <w:noProof/>
                <w:webHidden/>
              </w:rPr>
              <w:fldChar w:fldCharType="separate"/>
            </w:r>
            <w:r>
              <w:rPr>
                <w:noProof/>
                <w:webHidden/>
              </w:rPr>
              <w:t>46</w:t>
            </w:r>
            <w:r>
              <w:rPr>
                <w:noProof/>
                <w:webHidden/>
              </w:rPr>
              <w:fldChar w:fldCharType="end"/>
            </w:r>
          </w:hyperlink>
        </w:p>
        <w:p w:rsidR="00077E82" w:rsidRDefault="00077E82">
          <w:pPr>
            <w:pStyle w:val="TOC3"/>
            <w:rPr>
              <w:rFonts w:eastAsiaTheme="minorEastAsia"/>
              <w:noProof/>
              <w:lang w:eastAsia="tr-TR"/>
            </w:rPr>
          </w:pPr>
          <w:hyperlink w:anchor="_Toc130312737" w:history="1">
            <w:r w:rsidRPr="00FA7D9A">
              <w:rPr>
                <w:rStyle w:val="Hyperlink"/>
                <w:noProof/>
              </w:rPr>
              <w:t>7.6.2. Mutlak RMD Yöntemi ve Göreli RMD Yöntemi</w:t>
            </w:r>
            <w:r>
              <w:rPr>
                <w:noProof/>
                <w:webHidden/>
              </w:rPr>
              <w:tab/>
            </w:r>
            <w:r>
              <w:rPr>
                <w:noProof/>
                <w:webHidden/>
              </w:rPr>
              <w:fldChar w:fldCharType="begin"/>
            </w:r>
            <w:r>
              <w:rPr>
                <w:noProof/>
                <w:webHidden/>
              </w:rPr>
              <w:instrText xml:space="preserve"> PAGEREF _Toc130312737 \h </w:instrText>
            </w:r>
            <w:r>
              <w:rPr>
                <w:noProof/>
                <w:webHidden/>
              </w:rPr>
            </w:r>
            <w:r>
              <w:rPr>
                <w:noProof/>
                <w:webHidden/>
              </w:rPr>
              <w:fldChar w:fldCharType="separate"/>
            </w:r>
            <w:r>
              <w:rPr>
                <w:noProof/>
                <w:webHidden/>
              </w:rPr>
              <w:t>47</w:t>
            </w:r>
            <w:r>
              <w:rPr>
                <w:noProof/>
                <w:webHidden/>
              </w:rPr>
              <w:fldChar w:fldCharType="end"/>
            </w:r>
          </w:hyperlink>
        </w:p>
        <w:p w:rsidR="00077E82" w:rsidRDefault="00077E82">
          <w:pPr>
            <w:pStyle w:val="TOC3"/>
            <w:rPr>
              <w:rFonts w:eastAsiaTheme="minorEastAsia"/>
              <w:noProof/>
              <w:lang w:eastAsia="tr-TR"/>
            </w:rPr>
          </w:pPr>
          <w:hyperlink w:anchor="_Toc130312738" w:history="1">
            <w:r w:rsidRPr="00FA7D9A">
              <w:rPr>
                <w:rStyle w:val="Hyperlink"/>
                <w:noProof/>
              </w:rPr>
              <w:t>7.6.3. Model Doğrulaması</w:t>
            </w:r>
            <w:r>
              <w:rPr>
                <w:noProof/>
                <w:webHidden/>
              </w:rPr>
              <w:tab/>
            </w:r>
            <w:r>
              <w:rPr>
                <w:noProof/>
                <w:webHidden/>
              </w:rPr>
              <w:fldChar w:fldCharType="begin"/>
            </w:r>
            <w:r>
              <w:rPr>
                <w:noProof/>
                <w:webHidden/>
              </w:rPr>
              <w:instrText xml:space="preserve"> PAGEREF _Toc130312738 \h </w:instrText>
            </w:r>
            <w:r>
              <w:rPr>
                <w:noProof/>
                <w:webHidden/>
              </w:rPr>
            </w:r>
            <w:r>
              <w:rPr>
                <w:noProof/>
                <w:webHidden/>
              </w:rPr>
              <w:fldChar w:fldCharType="separate"/>
            </w:r>
            <w:r>
              <w:rPr>
                <w:noProof/>
                <w:webHidden/>
              </w:rPr>
              <w:t>48</w:t>
            </w:r>
            <w:r>
              <w:rPr>
                <w:noProof/>
                <w:webHidden/>
              </w:rPr>
              <w:fldChar w:fldCharType="end"/>
            </w:r>
          </w:hyperlink>
        </w:p>
        <w:p w:rsidR="00077E82" w:rsidRDefault="00077E82">
          <w:pPr>
            <w:pStyle w:val="TOC3"/>
            <w:rPr>
              <w:rFonts w:eastAsiaTheme="minorEastAsia"/>
              <w:noProof/>
              <w:lang w:eastAsia="tr-TR"/>
            </w:rPr>
          </w:pPr>
          <w:hyperlink w:anchor="_Toc130312739" w:history="1">
            <w:r w:rsidRPr="00FA7D9A">
              <w:rPr>
                <w:rStyle w:val="Hyperlink"/>
                <w:noProof/>
              </w:rPr>
              <w:t>7.6.4. (Değişiklik: 01.03.2018 tarih ve 9/316 sayılı Kurul Kararı ile) Geriye Dönük Test</w:t>
            </w:r>
            <w:r>
              <w:rPr>
                <w:noProof/>
                <w:webHidden/>
              </w:rPr>
              <w:tab/>
            </w:r>
            <w:r>
              <w:rPr>
                <w:noProof/>
                <w:webHidden/>
              </w:rPr>
              <w:fldChar w:fldCharType="begin"/>
            </w:r>
            <w:r>
              <w:rPr>
                <w:noProof/>
                <w:webHidden/>
              </w:rPr>
              <w:instrText xml:space="preserve"> PAGEREF _Toc130312739 \h </w:instrText>
            </w:r>
            <w:r>
              <w:rPr>
                <w:noProof/>
                <w:webHidden/>
              </w:rPr>
            </w:r>
            <w:r>
              <w:rPr>
                <w:noProof/>
                <w:webHidden/>
              </w:rPr>
              <w:fldChar w:fldCharType="separate"/>
            </w:r>
            <w:r>
              <w:rPr>
                <w:noProof/>
                <w:webHidden/>
              </w:rPr>
              <w:t>48</w:t>
            </w:r>
            <w:r>
              <w:rPr>
                <w:noProof/>
                <w:webHidden/>
              </w:rPr>
              <w:fldChar w:fldCharType="end"/>
            </w:r>
          </w:hyperlink>
        </w:p>
        <w:p w:rsidR="00077E82" w:rsidRDefault="00077E82">
          <w:pPr>
            <w:pStyle w:val="TOC3"/>
            <w:rPr>
              <w:rFonts w:eastAsiaTheme="minorEastAsia"/>
              <w:noProof/>
              <w:lang w:eastAsia="tr-TR"/>
            </w:rPr>
          </w:pPr>
          <w:hyperlink w:anchor="_Toc130312740" w:history="1">
            <w:r w:rsidRPr="00FA7D9A">
              <w:rPr>
                <w:rStyle w:val="Hyperlink"/>
                <w:noProof/>
              </w:rPr>
              <w:t>7.6.5. Stres Testi</w:t>
            </w:r>
            <w:r>
              <w:rPr>
                <w:noProof/>
                <w:webHidden/>
              </w:rPr>
              <w:tab/>
            </w:r>
            <w:r>
              <w:rPr>
                <w:noProof/>
                <w:webHidden/>
              </w:rPr>
              <w:fldChar w:fldCharType="begin"/>
            </w:r>
            <w:r>
              <w:rPr>
                <w:noProof/>
                <w:webHidden/>
              </w:rPr>
              <w:instrText xml:space="preserve"> PAGEREF _Toc130312740 \h </w:instrText>
            </w:r>
            <w:r>
              <w:rPr>
                <w:noProof/>
                <w:webHidden/>
              </w:rPr>
            </w:r>
            <w:r>
              <w:rPr>
                <w:noProof/>
                <w:webHidden/>
              </w:rPr>
              <w:fldChar w:fldCharType="separate"/>
            </w:r>
            <w:r>
              <w:rPr>
                <w:noProof/>
                <w:webHidden/>
              </w:rPr>
              <w:t>49</w:t>
            </w:r>
            <w:r>
              <w:rPr>
                <w:noProof/>
                <w:webHidden/>
              </w:rPr>
              <w:fldChar w:fldCharType="end"/>
            </w:r>
          </w:hyperlink>
        </w:p>
        <w:p w:rsidR="00077E82" w:rsidRDefault="00077E82">
          <w:pPr>
            <w:pStyle w:val="TOC3"/>
            <w:rPr>
              <w:rFonts w:eastAsiaTheme="minorEastAsia"/>
              <w:noProof/>
              <w:lang w:eastAsia="tr-TR"/>
            </w:rPr>
          </w:pPr>
          <w:hyperlink w:anchor="_Toc130312741" w:history="1">
            <w:r w:rsidRPr="00FA7D9A">
              <w:rPr>
                <w:rStyle w:val="Hyperlink"/>
                <w:noProof/>
              </w:rPr>
              <w:t>7.6.6. RMD Modeline İlişkin Belge ve Kayıt Düzeni</w:t>
            </w:r>
            <w:r>
              <w:rPr>
                <w:noProof/>
                <w:webHidden/>
              </w:rPr>
              <w:tab/>
            </w:r>
            <w:r>
              <w:rPr>
                <w:noProof/>
                <w:webHidden/>
              </w:rPr>
              <w:fldChar w:fldCharType="begin"/>
            </w:r>
            <w:r>
              <w:rPr>
                <w:noProof/>
                <w:webHidden/>
              </w:rPr>
              <w:instrText xml:space="preserve"> PAGEREF _Toc130312741 \h </w:instrText>
            </w:r>
            <w:r>
              <w:rPr>
                <w:noProof/>
                <w:webHidden/>
              </w:rPr>
            </w:r>
            <w:r>
              <w:rPr>
                <w:noProof/>
                <w:webHidden/>
              </w:rPr>
              <w:fldChar w:fldCharType="separate"/>
            </w:r>
            <w:r>
              <w:rPr>
                <w:noProof/>
                <w:webHidden/>
              </w:rPr>
              <w:t>50</w:t>
            </w:r>
            <w:r>
              <w:rPr>
                <w:noProof/>
                <w:webHidden/>
              </w:rPr>
              <w:fldChar w:fldCharType="end"/>
            </w:r>
          </w:hyperlink>
        </w:p>
        <w:p w:rsidR="00077E82" w:rsidRDefault="00077E82">
          <w:pPr>
            <w:pStyle w:val="TOC3"/>
            <w:rPr>
              <w:rFonts w:eastAsiaTheme="minorEastAsia"/>
              <w:noProof/>
              <w:lang w:eastAsia="tr-TR"/>
            </w:rPr>
          </w:pPr>
          <w:hyperlink w:anchor="_Toc130312742" w:history="1">
            <w:r w:rsidRPr="00FA7D9A">
              <w:rPr>
                <w:rStyle w:val="Hyperlink"/>
                <w:noProof/>
              </w:rPr>
              <w:t>7.6.7. İlave Tedbirler</w:t>
            </w:r>
            <w:r>
              <w:rPr>
                <w:noProof/>
                <w:webHidden/>
              </w:rPr>
              <w:tab/>
            </w:r>
            <w:r>
              <w:rPr>
                <w:noProof/>
                <w:webHidden/>
              </w:rPr>
              <w:fldChar w:fldCharType="begin"/>
            </w:r>
            <w:r>
              <w:rPr>
                <w:noProof/>
                <w:webHidden/>
              </w:rPr>
              <w:instrText xml:space="preserve"> PAGEREF _Toc130312742 \h </w:instrText>
            </w:r>
            <w:r>
              <w:rPr>
                <w:noProof/>
                <w:webHidden/>
              </w:rPr>
            </w:r>
            <w:r>
              <w:rPr>
                <w:noProof/>
                <w:webHidden/>
              </w:rPr>
              <w:fldChar w:fldCharType="separate"/>
            </w:r>
            <w:r>
              <w:rPr>
                <w:noProof/>
                <w:webHidden/>
              </w:rPr>
              <w:t>50</w:t>
            </w:r>
            <w:r>
              <w:rPr>
                <w:noProof/>
                <w:webHidden/>
              </w:rPr>
              <w:fldChar w:fldCharType="end"/>
            </w:r>
          </w:hyperlink>
        </w:p>
        <w:p w:rsidR="00077E82" w:rsidRDefault="00077E82">
          <w:pPr>
            <w:pStyle w:val="TOC3"/>
            <w:rPr>
              <w:rFonts w:eastAsiaTheme="minorEastAsia"/>
              <w:noProof/>
              <w:lang w:eastAsia="tr-TR"/>
            </w:rPr>
          </w:pPr>
          <w:hyperlink w:anchor="_Toc130312743" w:history="1">
            <w:r w:rsidRPr="00FA7D9A">
              <w:rPr>
                <w:rStyle w:val="Hyperlink"/>
                <w:rFonts w:cs="Times New Roman"/>
                <w:noProof/>
              </w:rPr>
              <w:t xml:space="preserve">7.6.8. </w:t>
            </w:r>
            <w:r w:rsidRPr="00FA7D9A">
              <w:rPr>
                <w:rStyle w:val="Hyperlink"/>
                <w:noProof/>
              </w:rPr>
              <w:t>Risk Yönetim Biriminin RMD Yönteminin Kullanımına İlişkin Görevleri</w:t>
            </w:r>
            <w:r>
              <w:rPr>
                <w:noProof/>
                <w:webHidden/>
              </w:rPr>
              <w:tab/>
            </w:r>
            <w:r>
              <w:rPr>
                <w:noProof/>
                <w:webHidden/>
              </w:rPr>
              <w:fldChar w:fldCharType="begin"/>
            </w:r>
            <w:r>
              <w:rPr>
                <w:noProof/>
                <w:webHidden/>
              </w:rPr>
              <w:instrText xml:space="preserve"> PAGEREF _Toc130312743 \h </w:instrText>
            </w:r>
            <w:r>
              <w:rPr>
                <w:noProof/>
                <w:webHidden/>
              </w:rPr>
            </w:r>
            <w:r>
              <w:rPr>
                <w:noProof/>
                <w:webHidden/>
              </w:rPr>
              <w:fldChar w:fldCharType="separate"/>
            </w:r>
            <w:r>
              <w:rPr>
                <w:noProof/>
                <w:webHidden/>
              </w:rPr>
              <w:t>50</w:t>
            </w:r>
            <w:r>
              <w:rPr>
                <w:noProof/>
                <w:webHidden/>
              </w:rPr>
              <w:fldChar w:fldCharType="end"/>
            </w:r>
          </w:hyperlink>
        </w:p>
        <w:p w:rsidR="00077E82" w:rsidRDefault="00077E82">
          <w:pPr>
            <w:pStyle w:val="TOC2"/>
            <w:rPr>
              <w:rFonts w:eastAsiaTheme="minorEastAsia"/>
              <w:noProof/>
              <w:lang w:eastAsia="tr-TR"/>
            </w:rPr>
          </w:pPr>
          <w:hyperlink w:anchor="_Toc130312744" w:history="1">
            <w:r w:rsidRPr="00FA7D9A">
              <w:rPr>
                <w:rStyle w:val="Hyperlink"/>
                <w:noProof/>
              </w:rPr>
              <w:t>7.7. Kamuyu Aydınlatma Esasları</w:t>
            </w:r>
            <w:r>
              <w:rPr>
                <w:noProof/>
                <w:webHidden/>
              </w:rPr>
              <w:tab/>
            </w:r>
            <w:r>
              <w:rPr>
                <w:noProof/>
                <w:webHidden/>
              </w:rPr>
              <w:fldChar w:fldCharType="begin"/>
            </w:r>
            <w:r>
              <w:rPr>
                <w:noProof/>
                <w:webHidden/>
              </w:rPr>
              <w:instrText xml:space="preserve"> PAGEREF _Toc130312744 \h </w:instrText>
            </w:r>
            <w:r>
              <w:rPr>
                <w:noProof/>
                <w:webHidden/>
              </w:rPr>
            </w:r>
            <w:r>
              <w:rPr>
                <w:noProof/>
                <w:webHidden/>
              </w:rPr>
              <w:fldChar w:fldCharType="separate"/>
            </w:r>
            <w:r>
              <w:rPr>
                <w:noProof/>
                <w:webHidden/>
              </w:rPr>
              <w:t>51</w:t>
            </w:r>
            <w:r>
              <w:rPr>
                <w:noProof/>
                <w:webHidden/>
              </w:rPr>
              <w:fldChar w:fldCharType="end"/>
            </w:r>
          </w:hyperlink>
        </w:p>
        <w:p w:rsidR="00077E82" w:rsidRDefault="00077E82">
          <w:pPr>
            <w:pStyle w:val="TOC2"/>
            <w:rPr>
              <w:rFonts w:eastAsiaTheme="minorEastAsia"/>
              <w:noProof/>
              <w:lang w:eastAsia="tr-TR"/>
            </w:rPr>
          </w:pPr>
          <w:hyperlink w:anchor="_Toc130312745" w:history="1">
            <w:r w:rsidRPr="00FA7D9A">
              <w:rPr>
                <w:rStyle w:val="Hyperlink"/>
                <w:noProof/>
              </w:rPr>
              <w:t>7.8. Garantili Yatırım Fonları ve Koruma Amaçlı Yatırım Fonlarına İlişkin Esaslar</w:t>
            </w:r>
            <w:r>
              <w:rPr>
                <w:noProof/>
                <w:webHidden/>
              </w:rPr>
              <w:tab/>
            </w:r>
            <w:r>
              <w:rPr>
                <w:noProof/>
                <w:webHidden/>
              </w:rPr>
              <w:fldChar w:fldCharType="begin"/>
            </w:r>
            <w:r>
              <w:rPr>
                <w:noProof/>
                <w:webHidden/>
              </w:rPr>
              <w:instrText xml:space="preserve"> PAGEREF _Toc130312745 \h </w:instrText>
            </w:r>
            <w:r>
              <w:rPr>
                <w:noProof/>
                <w:webHidden/>
              </w:rPr>
            </w:r>
            <w:r>
              <w:rPr>
                <w:noProof/>
                <w:webHidden/>
              </w:rPr>
              <w:fldChar w:fldCharType="separate"/>
            </w:r>
            <w:r>
              <w:rPr>
                <w:noProof/>
                <w:webHidden/>
              </w:rPr>
              <w:t>51</w:t>
            </w:r>
            <w:r>
              <w:rPr>
                <w:noProof/>
                <w:webHidden/>
              </w:rPr>
              <w:fldChar w:fldCharType="end"/>
            </w:r>
          </w:hyperlink>
        </w:p>
        <w:p w:rsidR="00077E82" w:rsidRDefault="00077E82">
          <w:pPr>
            <w:pStyle w:val="TOC2"/>
            <w:rPr>
              <w:rFonts w:eastAsiaTheme="minorEastAsia"/>
              <w:noProof/>
              <w:lang w:eastAsia="tr-TR"/>
            </w:rPr>
          </w:pPr>
          <w:hyperlink w:anchor="_Toc130312746" w:history="1">
            <w:r w:rsidRPr="00FA7D9A">
              <w:rPr>
                <w:rStyle w:val="Hyperlink"/>
                <w:noProof/>
              </w:rPr>
              <w:t xml:space="preserve">7.9. </w:t>
            </w:r>
            <w:r w:rsidRPr="00FA7D9A">
              <w:rPr>
                <w:rStyle w:val="Hyperlink"/>
                <w:rFonts w:eastAsia="Times New Roman"/>
                <w:noProof/>
                <w:lang w:eastAsia="tr-TR"/>
              </w:rPr>
              <w:t xml:space="preserve">Serbest Fonlara </w:t>
            </w:r>
            <w:r w:rsidRPr="00FA7D9A">
              <w:rPr>
                <w:rStyle w:val="Hyperlink"/>
                <w:rFonts w:eastAsia="Times New Roman"/>
                <w:noProof/>
                <w:lang w:val="en-US" w:eastAsia="tr-TR"/>
              </w:rPr>
              <w:t>İlişkinEsaslar</w:t>
            </w:r>
            <w:r>
              <w:rPr>
                <w:noProof/>
                <w:webHidden/>
              </w:rPr>
              <w:tab/>
            </w:r>
            <w:r>
              <w:rPr>
                <w:noProof/>
                <w:webHidden/>
              </w:rPr>
              <w:fldChar w:fldCharType="begin"/>
            </w:r>
            <w:r>
              <w:rPr>
                <w:noProof/>
                <w:webHidden/>
              </w:rPr>
              <w:instrText xml:space="preserve"> PAGEREF _Toc130312746 \h </w:instrText>
            </w:r>
            <w:r>
              <w:rPr>
                <w:noProof/>
                <w:webHidden/>
              </w:rPr>
            </w:r>
            <w:r>
              <w:rPr>
                <w:noProof/>
                <w:webHidden/>
              </w:rPr>
              <w:fldChar w:fldCharType="separate"/>
            </w:r>
            <w:r>
              <w:rPr>
                <w:noProof/>
                <w:webHidden/>
              </w:rPr>
              <w:t>51</w:t>
            </w:r>
            <w:r>
              <w:rPr>
                <w:noProof/>
                <w:webHidden/>
              </w:rPr>
              <w:fldChar w:fldCharType="end"/>
            </w:r>
          </w:hyperlink>
        </w:p>
        <w:p w:rsidR="00077E82" w:rsidRDefault="00077E82">
          <w:pPr>
            <w:pStyle w:val="TOC1"/>
            <w:rPr>
              <w:rFonts w:eastAsiaTheme="minorEastAsia"/>
              <w:noProof/>
              <w:lang w:eastAsia="tr-TR"/>
            </w:rPr>
          </w:pPr>
          <w:hyperlink w:anchor="_Toc130312747" w:history="1">
            <w:r w:rsidRPr="00FA7D9A">
              <w:rPr>
                <w:rStyle w:val="Hyperlink"/>
                <w:noProof/>
              </w:rPr>
              <w:t>8. Fonlara İlişkin Operasyonel Esaslar</w:t>
            </w:r>
            <w:r>
              <w:rPr>
                <w:noProof/>
                <w:webHidden/>
              </w:rPr>
              <w:tab/>
            </w:r>
            <w:r>
              <w:rPr>
                <w:noProof/>
                <w:webHidden/>
              </w:rPr>
              <w:fldChar w:fldCharType="begin"/>
            </w:r>
            <w:r>
              <w:rPr>
                <w:noProof/>
                <w:webHidden/>
              </w:rPr>
              <w:instrText xml:space="preserve"> PAGEREF _Toc130312747 \h </w:instrText>
            </w:r>
            <w:r>
              <w:rPr>
                <w:noProof/>
                <w:webHidden/>
              </w:rPr>
            </w:r>
            <w:r>
              <w:rPr>
                <w:noProof/>
                <w:webHidden/>
              </w:rPr>
              <w:fldChar w:fldCharType="separate"/>
            </w:r>
            <w:r>
              <w:rPr>
                <w:noProof/>
                <w:webHidden/>
              </w:rPr>
              <w:t>52</w:t>
            </w:r>
            <w:r>
              <w:rPr>
                <w:noProof/>
                <w:webHidden/>
              </w:rPr>
              <w:fldChar w:fldCharType="end"/>
            </w:r>
          </w:hyperlink>
        </w:p>
        <w:p w:rsidR="00077E82" w:rsidRDefault="00077E82">
          <w:pPr>
            <w:pStyle w:val="TOC2"/>
            <w:rPr>
              <w:rFonts w:eastAsiaTheme="minorEastAsia"/>
              <w:noProof/>
              <w:lang w:eastAsia="tr-TR"/>
            </w:rPr>
          </w:pPr>
          <w:hyperlink w:anchor="_Toc130312748" w:history="1">
            <w:r w:rsidRPr="00FA7D9A">
              <w:rPr>
                <w:rStyle w:val="Hyperlink"/>
                <w:rFonts w:eastAsia="Times New Roman"/>
                <w:noProof/>
                <w:lang w:eastAsia="tr-TR"/>
              </w:rPr>
              <w:t>8.1.Katılma Paylarına İlişkin Bilgilerin Güncellenmesi ve MKK’ya Aktarımı</w:t>
            </w:r>
            <w:r>
              <w:rPr>
                <w:noProof/>
                <w:webHidden/>
              </w:rPr>
              <w:tab/>
            </w:r>
            <w:r>
              <w:rPr>
                <w:noProof/>
                <w:webHidden/>
              </w:rPr>
              <w:fldChar w:fldCharType="begin"/>
            </w:r>
            <w:r>
              <w:rPr>
                <w:noProof/>
                <w:webHidden/>
              </w:rPr>
              <w:instrText xml:space="preserve"> PAGEREF _Toc130312748 \h </w:instrText>
            </w:r>
            <w:r>
              <w:rPr>
                <w:noProof/>
                <w:webHidden/>
              </w:rPr>
            </w:r>
            <w:r>
              <w:rPr>
                <w:noProof/>
                <w:webHidden/>
              </w:rPr>
              <w:fldChar w:fldCharType="separate"/>
            </w:r>
            <w:r>
              <w:rPr>
                <w:noProof/>
                <w:webHidden/>
              </w:rPr>
              <w:t>52</w:t>
            </w:r>
            <w:r>
              <w:rPr>
                <w:noProof/>
                <w:webHidden/>
              </w:rPr>
              <w:fldChar w:fldCharType="end"/>
            </w:r>
          </w:hyperlink>
        </w:p>
        <w:p w:rsidR="00077E82" w:rsidRDefault="00077E82">
          <w:pPr>
            <w:pStyle w:val="TOC2"/>
            <w:rPr>
              <w:rFonts w:eastAsiaTheme="minorEastAsia"/>
              <w:noProof/>
              <w:lang w:eastAsia="tr-TR"/>
            </w:rPr>
          </w:pPr>
          <w:hyperlink w:anchor="_Toc130312749" w:history="1">
            <w:r w:rsidRPr="00FA7D9A">
              <w:rPr>
                <w:rStyle w:val="Hyperlink"/>
                <w:bCs/>
                <w:noProof/>
              </w:rPr>
              <w:t xml:space="preserve">8.2. </w:t>
            </w:r>
            <w:r w:rsidRPr="00FA7D9A">
              <w:rPr>
                <w:rStyle w:val="Hyperlink"/>
                <w:rFonts w:eastAsia="Times New Roman"/>
                <w:noProof/>
                <w:lang w:eastAsia="tr-TR"/>
              </w:rPr>
              <w:t>Koruma Amaçlı ve Garantili Fonların Portföyünden Ayrılan Karşılıklar</w:t>
            </w:r>
            <w:r>
              <w:rPr>
                <w:noProof/>
                <w:webHidden/>
              </w:rPr>
              <w:tab/>
            </w:r>
            <w:r>
              <w:rPr>
                <w:noProof/>
                <w:webHidden/>
              </w:rPr>
              <w:fldChar w:fldCharType="begin"/>
            </w:r>
            <w:r>
              <w:rPr>
                <w:noProof/>
                <w:webHidden/>
              </w:rPr>
              <w:instrText xml:space="preserve"> PAGEREF _Toc130312749 \h </w:instrText>
            </w:r>
            <w:r>
              <w:rPr>
                <w:noProof/>
                <w:webHidden/>
              </w:rPr>
            </w:r>
            <w:r>
              <w:rPr>
                <w:noProof/>
                <w:webHidden/>
              </w:rPr>
              <w:fldChar w:fldCharType="separate"/>
            </w:r>
            <w:r>
              <w:rPr>
                <w:noProof/>
                <w:webHidden/>
              </w:rPr>
              <w:t>52</w:t>
            </w:r>
            <w:r>
              <w:rPr>
                <w:noProof/>
                <w:webHidden/>
              </w:rPr>
              <w:fldChar w:fldCharType="end"/>
            </w:r>
          </w:hyperlink>
        </w:p>
        <w:p w:rsidR="00077E82" w:rsidRDefault="00077E82">
          <w:pPr>
            <w:pStyle w:val="TOC2"/>
            <w:rPr>
              <w:rFonts w:eastAsiaTheme="minorEastAsia"/>
              <w:noProof/>
              <w:lang w:eastAsia="tr-TR"/>
            </w:rPr>
          </w:pPr>
          <w:hyperlink w:anchor="_Toc130312750" w:history="1">
            <w:r w:rsidRPr="00FA7D9A">
              <w:rPr>
                <w:rStyle w:val="Hyperlink"/>
                <w:bCs/>
                <w:noProof/>
              </w:rPr>
              <w:t xml:space="preserve">8.3. </w:t>
            </w:r>
            <w:r w:rsidRPr="00FA7D9A">
              <w:rPr>
                <w:rStyle w:val="Hyperlink"/>
                <w:noProof/>
              </w:rPr>
              <w:t>Fon Giderlerinin Kurucular Tarafından Karşılanması</w:t>
            </w:r>
            <w:r>
              <w:rPr>
                <w:noProof/>
                <w:webHidden/>
              </w:rPr>
              <w:tab/>
            </w:r>
            <w:r>
              <w:rPr>
                <w:noProof/>
                <w:webHidden/>
              </w:rPr>
              <w:fldChar w:fldCharType="begin"/>
            </w:r>
            <w:r>
              <w:rPr>
                <w:noProof/>
                <w:webHidden/>
              </w:rPr>
              <w:instrText xml:space="preserve"> PAGEREF _Toc130312750 \h </w:instrText>
            </w:r>
            <w:r>
              <w:rPr>
                <w:noProof/>
                <w:webHidden/>
              </w:rPr>
            </w:r>
            <w:r>
              <w:rPr>
                <w:noProof/>
                <w:webHidden/>
              </w:rPr>
              <w:fldChar w:fldCharType="separate"/>
            </w:r>
            <w:r>
              <w:rPr>
                <w:noProof/>
                <w:webHidden/>
              </w:rPr>
              <w:t>52</w:t>
            </w:r>
            <w:r>
              <w:rPr>
                <w:noProof/>
                <w:webHidden/>
              </w:rPr>
              <w:fldChar w:fldCharType="end"/>
            </w:r>
          </w:hyperlink>
        </w:p>
        <w:p w:rsidR="00077E82" w:rsidRDefault="00077E82">
          <w:pPr>
            <w:pStyle w:val="TOC2"/>
            <w:rPr>
              <w:rFonts w:eastAsiaTheme="minorEastAsia"/>
              <w:noProof/>
              <w:lang w:eastAsia="tr-TR"/>
            </w:rPr>
          </w:pPr>
          <w:hyperlink w:anchor="_Toc130312751" w:history="1">
            <w:r w:rsidRPr="00FA7D9A">
              <w:rPr>
                <w:rStyle w:val="Hyperlink"/>
                <w:bCs/>
                <w:noProof/>
              </w:rPr>
              <w:t xml:space="preserve">8.4. </w:t>
            </w:r>
            <w:r w:rsidRPr="00FA7D9A">
              <w:rPr>
                <w:rStyle w:val="Hyperlink"/>
                <w:noProof/>
                <w:lang w:eastAsia="tr-TR"/>
              </w:rPr>
              <w:t>Korumalı Amaçlı, Garantili Fonlar ile Serbest Fonların İstatistiki Verilerinin İletilmesi</w:t>
            </w:r>
            <w:r>
              <w:rPr>
                <w:noProof/>
                <w:webHidden/>
              </w:rPr>
              <w:tab/>
            </w:r>
            <w:r>
              <w:rPr>
                <w:noProof/>
                <w:webHidden/>
              </w:rPr>
              <w:fldChar w:fldCharType="begin"/>
            </w:r>
            <w:r>
              <w:rPr>
                <w:noProof/>
                <w:webHidden/>
              </w:rPr>
              <w:instrText xml:space="preserve"> PAGEREF _Toc130312751 \h </w:instrText>
            </w:r>
            <w:r>
              <w:rPr>
                <w:noProof/>
                <w:webHidden/>
              </w:rPr>
            </w:r>
            <w:r>
              <w:rPr>
                <w:noProof/>
                <w:webHidden/>
              </w:rPr>
              <w:fldChar w:fldCharType="separate"/>
            </w:r>
            <w:r>
              <w:rPr>
                <w:noProof/>
                <w:webHidden/>
              </w:rPr>
              <w:t>53</w:t>
            </w:r>
            <w:r>
              <w:rPr>
                <w:noProof/>
                <w:webHidden/>
              </w:rPr>
              <w:fldChar w:fldCharType="end"/>
            </w:r>
          </w:hyperlink>
        </w:p>
        <w:p w:rsidR="00077E82" w:rsidRDefault="00077E82">
          <w:pPr>
            <w:pStyle w:val="TOC2"/>
            <w:rPr>
              <w:rFonts w:eastAsiaTheme="minorEastAsia"/>
              <w:noProof/>
              <w:lang w:eastAsia="tr-TR"/>
            </w:rPr>
          </w:pPr>
          <w:hyperlink w:anchor="_Toc130312752" w:history="1">
            <w:r w:rsidRPr="00FA7D9A">
              <w:rPr>
                <w:rStyle w:val="Hyperlink"/>
                <w:bCs/>
                <w:noProof/>
              </w:rPr>
              <w:t xml:space="preserve">8.5. </w:t>
            </w:r>
            <w:r w:rsidRPr="00FA7D9A">
              <w:rPr>
                <w:rStyle w:val="Hyperlink"/>
                <w:noProof/>
                <w:lang w:eastAsia="tr-TR"/>
              </w:rPr>
              <w:t>Toplam Gider Oranı Kontrolüne İlişkin Esaslar</w:t>
            </w:r>
            <w:r>
              <w:rPr>
                <w:noProof/>
                <w:webHidden/>
              </w:rPr>
              <w:tab/>
            </w:r>
            <w:r>
              <w:rPr>
                <w:noProof/>
                <w:webHidden/>
              </w:rPr>
              <w:fldChar w:fldCharType="begin"/>
            </w:r>
            <w:r>
              <w:rPr>
                <w:noProof/>
                <w:webHidden/>
              </w:rPr>
              <w:instrText xml:space="preserve"> PAGEREF _Toc130312752 \h </w:instrText>
            </w:r>
            <w:r>
              <w:rPr>
                <w:noProof/>
                <w:webHidden/>
              </w:rPr>
            </w:r>
            <w:r>
              <w:rPr>
                <w:noProof/>
                <w:webHidden/>
              </w:rPr>
              <w:fldChar w:fldCharType="separate"/>
            </w:r>
            <w:r>
              <w:rPr>
                <w:noProof/>
                <w:webHidden/>
              </w:rPr>
              <w:t>53</w:t>
            </w:r>
            <w:r>
              <w:rPr>
                <w:noProof/>
                <w:webHidden/>
              </w:rPr>
              <w:fldChar w:fldCharType="end"/>
            </w:r>
          </w:hyperlink>
        </w:p>
        <w:p w:rsidR="00077E82" w:rsidRDefault="00077E82">
          <w:pPr>
            <w:pStyle w:val="TOC2"/>
            <w:rPr>
              <w:rFonts w:eastAsiaTheme="minorEastAsia"/>
              <w:noProof/>
              <w:lang w:eastAsia="tr-TR"/>
            </w:rPr>
          </w:pPr>
          <w:hyperlink w:anchor="_Toc130312753" w:history="1">
            <w:r w:rsidRPr="00FA7D9A">
              <w:rPr>
                <w:rStyle w:val="Hyperlink"/>
                <w:bCs/>
                <w:noProof/>
              </w:rPr>
              <w:t xml:space="preserve">8.6. </w:t>
            </w:r>
            <w:r w:rsidRPr="00FA7D9A">
              <w:rPr>
                <w:rStyle w:val="Hyperlink"/>
                <w:rFonts w:cs="Times New Roman"/>
                <w:noProof/>
                <w:lang w:eastAsia="tr-TR"/>
              </w:rPr>
              <w:t xml:space="preserve">Pay Alım Satım Talimatlarına </w:t>
            </w:r>
            <w:r w:rsidRPr="00FA7D9A">
              <w:rPr>
                <w:rStyle w:val="Hyperlink"/>
                <w:noProof/>
                <w:lang w:eastAsia="tr-TR"/>
              </w:rPr>
              <w:t>İlişkin Esaslar</w:t>
            </w:r>
            <w:r>
              <w:rPr>
                <w:noProof/>
                <w:webHidden/>
              </w:rPr>
              <w:tab/>
            </w:r>
            <w:r>
              <w:rPr>
                <w:noProof/>
                <w:webHidden/>
              </w:rPr>
              <w:fldChar w:fldCharType="begin"/>
            </w:r>
            <w:r>
              <w:rPr>
                <w:noProof/>
                <w:webHidden/>
              </w:rPr>
              <w:instrText xml:space="preserve"> PAGEREF _Toc130312753 \h </w:instrText>
            </w:r>
            <w:r>
              <w:rPr>
                <w:noProof/>
                <w:webHidden/>
              </w:rPr>
            </w:r>
            <w:r>
              <w:rPr>
                <w:noProof/>
                <w:webHidden/>
              </w:rPr>
              <w:fldChar w:fldCharType="separate"/>
            </w:r>
            <w:r>
              <w:rPr>
                <w:noProof/>
                <w:webHidden/>
              </w:rPr>
              <w:t>53</w:t>
            </w:r>
            <w:r>
              <w:rPr>
                <w:noProof/>
                <w:webHidden/>
              </w:rPr>
              <w:fldChar w:fldCharType="end"/>
            </w:r>
          </w:hyperlink>
        </w:p>
        <w:p w:rsidR="00077E82" w:rsidRDefault="00077E82">
          <w:pPr>
            <w:pStyle w:val="TOC1"/>
            <w:rPr>
              <w:rFonts w:eastAsiaTheme="minorEastAsia"/>
              <w:noProof/>
              <w:lang w:eastAsia="tr-TR"/>
            </w:rPr>
          </w:pPr>
          <w:hyperlink w:anchor="_Toc130312754" w:history="1">
            <w:r w:rsidRPr="00FA7D9A">
              <w:rPr>
                <w:rStyle w:val="Hyperlink"/>
                <w:noProof/>
              </w:rPr>
              <w:t>9. Kamuyu Aydınlatma Esasları</w:t>
            </w:r>
            <w:r>
              <w:rPr>
                <w:noProof/>
                <w:webHidden/>
              </w:rPr>
              <w:tab/>
            </w:r>
            <w:r>
              <w:rPr>
                <w:noProof/>
                <w:webHidden/>
              </w:rPr>
              <w:fldChar w:fldCharType="begin"/>
            </w:r>
            <w:r>
              <w:rPr>
                <w:noProof/>
                <w:webHidden/>
              </w:rPr>
              <w:instrText xml:space="preserve"> PAGEREF _Toc130312754 \h </w:instrText>
            </w:r>
            <w:r>
              <w:rPr>
                <w:noProof/>
                <w:webHidden/>
              </w:rPr>
            </w:r>
            <w:r>
              <w:rPr>
                <w:noProof/>
                <w:webHidden/>
              </w:rPr>
              <w:fldChar w:fldCharType="separate"/>
            </w:r>
            <w:r>
              <w:rPr>
                <w:noProof/>
                <w:webHidden/>
              </w:rPr>
              <w:t>54</w:t>
            </w:r>
            <w:r>
              <w:rPr>
                <w:noProof/>
                <w:webHidden/>
              </w:rPr>
              <w:fldChar w:fldCharType="end"/>
            </w:r>
          </w:hyperlink>
        </w:p>
        <w:p w:rsidR="00077E82" w:rsidRDefault="00077E82">
          <w:pPr>
            <w:pStyle w:val="TOC2"/>
            <w:rPr>
              <w:rFonts w:eastAsiaTheme="minorEastAsia"/>
              <w:noProof/>
              <w:lang w:eastAsia="tr-TR"/>
            </w:rPr>
          </w:pPr>
          <w:hyperlink w:anchor="_Toc130312755" w:history="1">
            <w:r w:rsidRPr="00FA7D9A">
              <w:rPr>
                <w:rStyle w:val="Hyperlink"/>
                <w:noProof/>
              </w:rPr>
              <w:t>9.1. Komisyon ve Ücretler</w:t>
            </w:r>
            <w:r>
              <w:rPr>
                <w:noProof/>
                <w:webHidden/>
              </w:rPr>
              <w:tab/>
            </w:r>
            <w:r>
              <w:rPr>
                <w:noProof/>
                <w:webHidden/>
              </w:rPr>
              <w:fldChar w:fldCharType="begin"/>
            </w:r>
            <w:r>
              <w:rPr>
                <w:noProof/>
                <w:webHidden/>
              </w:rPr>
              <w:instrText xml:space="preserve"> PAGEREF _Toc130312755 \h </w:instrText>
            </w:r>
            <w:r>
              <w:rPr>
                <w:noProof/>
                <w:webHidden/>
              </w:rPr>
            </w:r>
            <w:r>
              <w:rPr>
                <w:noProof/>
                <w:webHidden/>
              </w:rPr>
              <w:fldChar w:fldCharType="separate"/>
            </w:r>
            <w:r>
              <w:rPr>
                <w:noProof/>
                <w:webHidden/>
              </w:rPr>
              <w:t>54</w:t>
            </w:r>
            <w:r>
              <w:rPr>
                <w:noProof/>
                <w:webHidden/>
              </w:rPr>
              <w:fldChar w:fldCharType="end"/>
            </w:r>
          </w:hyperlink>
        </w:p>
        <w:p w:rsidR="00077E82" w:rsidRDefault="00077E82">
          <w:pPr>
            <w:pStyle w:val="TOC2"/>
            <w:rPr>
              <w:rFonts w:eastAsiaTheme="minorEastAsia"/>
              <w:noProof/>
              <w:lang w:eastAsia="tr-TR"/>
            </w:rPr>
          </w:pPr>
          <w:hyperlink w:anchor="_Toc130312756" w:history="1">
            <w:r w:rsidRPr="00FA7D9A">
              <w:rPr>
                <w:rStyle w:val="Hyperlink"/>
                <w:noProof/>
              </w:rPr>
              <w:t>9.2. Fon Sürekli Bilgilendirme Formu</w:t>
            </w:r>
            <w:r>
              <w:rPr>
                <w:noProof/>
                <w:webHidden/>
              </w:rPr>
              <w:tab/>
            </w:r>
            <w:r>
              <w:rPr>
                <w:noProof/>
                <w:webHidden/>
              </w:rPr>
              <w:fldChar w:fldCharType="begin"/>
            </w:r>
            <w:r>
              <w:rPr>
                <w:noProof/>
                <w:webHidden/>
              </w:rPr>
              <w:instrText xml:space="preserve"> PAGEREF _Toc130312756 \h </w:instrText>
            </w:r>
            <w:r>
              <w:rPr>
                <w:noProof/>
                <w:webHidden/>
              </w:rPr>
            </w:r>
            <w:r>
              <w:rPr>
                <w:noProof/>
                <w:webHidden/>
              </w:rPr>
              <w:fldChar w:fldCharType="separate"/>
            </w:r>
            <w:r>
              <w:rPr>
                <w:noProof/>
                <w:webHidden/>
              </w:rPr>
              <w:t>54</w:t>
            </w:r>
            <w:r>
              <w:rPr>
                <w:noProof/>
                <w:webHidden/>
              </w:rPr>
              <w:fldChar w:fldCharType="end"/>
            </w:r>
          </w:hyperlink>
        </w:p>
        <w:p w:rsidR="00077E82" w:rsidRDefault="00077E82">
          <w:pPr>
            <w:pStyle w:val="TOC2"/>
            <w:rPr>
              <w:rFonts w:eastAsiaTheme="minorEastAsia"/>
              <w:noProof/>
              <w:lang w:eastAsia="tr-TR"/>
            </w:rPr>
          </w:pPr>
          <w:hyperlink w:anchor="_Toc130312757" w:history="1">
            <w:r w:rsidRPr="00FA7D9A">
              <w:rPr>
                <w:rStyle w:val="Hyperlink"/>
                <w:noProof/>
              </w:rPr>
              <w:t>9.3. Yatırımcı Bilgi Formunda Yer Alan Performans Senaryosu ve Risk Değeri</w:t>
            </w:r>
            <w:r>
              <w:rPr>
                <w:noProof/>
                <w:webHidden/>
              </w:rPr>
              <w:tab/>
            </w:r>
            <w:r>
              <w:rPr>
                <w:noProof/>
                <w:webHidden/>
              </w:rPr>
              <w:fldChar w:fldCharType="begin"/>
            </w:r>
            <w:r>
              <w:rPr>
                <w:noProof/>
                <w:webHidden/>
              </w:rPr>
              <w:instrText xml:space="preserve"> PAGEREF _Toc130312757 \h </w:instrText>
            </w:r>
            <w:r>
              <w:rPr>
                <w:noProof/>
                <w:webHidden/>
              </w:rPr>
            </w:r>
            <w:r>
              <w:rPr>
                <w:noProof/>
                <w:webHidden/>
              </w:rPr>
              <w:fldChar w:fldCharType="separate"/>
            </w:r>
            <w:r>
              <w:rPr>
                <w:noProof/>
                <w:webHidden/>
              </w:rPr>
              <w:t>54</w:t>
            </w:r>
            <w:r>
              <w:rPr>
                <w:noProof/>
                <w:webHidden/>
              </w:rPr>
              <w:fldChar w:fldCharType="end"/>
            </w:r>
          </w:hyperlink>
        </w:p>
        <w:p w:rsidR="00077E82" w:rsidRDefault="00077E82">
          <w:pPr>
            <w:pStyle w:val="TOC3"/>
            <w:rPr>
              <w:rFonts w:eastAsiaTheme="minorEastAsia"/>
              <w:noProof/>
              <w:lang w:eastAsia="tr-TR"/>
            </w:rPr>
          </w:pPr>
          <w:hyperlink w:anchor="_Toc130312758" w:history="1">
            <w:r w:rsidRPr="00FA7D9A">
              <w:rPr>
                <w:rStyle w:val="Hyperlink"/>
                <w:noProof/>
              </w:rPr>
              <w:t>9.3.1. Performans Senaryosu</w:t>
            </w:r>
            <w:r>
              <w:rPr>
                <w:noProof/>
                <w:webHidden/>
              </w:rPr>
              <w:tab/>
            </w:r>
            <w:r>
              <w:rPr>
                <w:noProof/>
                <w:webHidden/>
              </w:rPr>
              <w:fldChar w:fldCharType="begin"/>
            </w:r>
            <w:r>
              <w:rPr>
                <w:noProof/>
                <w:webHidden/>
              </w:rPr>
              <w:instrText xml:space="preserve"> PAGEREF _Toc130312758 \h </w:instrText>
            </w:r>
            <w:r>
              <w:rPr>
                <w:noProof/>
                <w:webHidden/>
              </w:rPr>
            </w:r>
            <w:r>
              <w:rPr>
                <w:noProof/>
                <w:webHidden/>
              </w:rPr>
              <w:fldChar w:fldCharType="separate"/>
            </w:r>
            <w:r>
              <w:rPr>
                <w:noProof/>
                <w:webHidden/>
              </w:rPr>
              <w:t>54</w:t>
            </w:r>
            <w:r>
              <w:rPr>
                <w:noProof/>
                <w:webHidden/>
              </w:rPr>
              <w:fldChar w:fldCharType="end"/>
            </w:r>
          </w:hyperlink>
        </w:p>
        <w:p w:rsidR="00077E82" w:rsidRDefault="00077E82">
          <w:pPr>
            <w:pStyle w:val="TOC3"/>
            <w:rPr>
              <w:rFonts w:eastAsiaTheme="minorEastAsia"/>
              <w:noProof/>
              <w:lang w:eastAsia="tr-TR"/>
            </w:rPr>
          </w:pPr>
          <w:hyperlink w:anchor="_Toc130312759" w:history="1">
            <w:r w:rsidRPr="00FA7D9A">
              <w:rPr>
                <w:rStyle w:val="Hyperlink"/>
                <w:noProof/>
              </w:rPr>
              <w:t>9.3.2. Fonun Risk Değeri’nin Hesaplanma Esasları</w:t>
            </w:r>
            <w:r>
              <w:rPr>
                <w:noProof/>
                <w:webHidden/>
              </w:rPr>
              <w:tab/>
            </w:r>
            <w:r>
              <w:rPr>
                <w:noProof/>
                <w:webHidden/>
              </w:rPr>
              <w:fldChar w:fldCharType="begin"/>
            </w:r>
            <w:r>
              <w:rPr>
                <w:noProof/>
                <w:webHidden/>
              </w:rPr>
              <w:instrText xml:space="preserve"> PAGEREF _Toc130312759 \h </w:instrText>
            </w:r>
            <w:r>
              <w:rPr>
                <w:noProof/>
                <w:webHidden/>
              </w:rPr>
            </w:r>
            <w:r>
              <w:rPr>
                <w:noProof/>
                <w:webHidden/>
              </w:rPr>
              <w:fldChar w:fldCharType="separate"/>
            </w:r>
            <w:r>
              <w:rPr>
                <w:noProof/>
                <w:webHidden/>
              </w:rPr>
              <w:t>55</w:t>
            </w:r>
            <w:r>
              <w:rPr>
                <w:noProof/>
                <w:webHidden/>
              </w:rPr>
              <w:fldChar w:fldCharType="end"/>
            </w:r>
          </w:hyperlink>
        </w:p>
        <w:p w:rsidR="00077E82" w:rsidRDefault="00077E82">
          <w:pPr>
            <w:pStyle w:val="TOC2"/>
            <w:rPr>
              <w:rFonts w:eastAsiaTheme="minorEastAsia"/>
              <w:noProof/>
              <w:lang w:eastAsia="tr-TR"/>
            </w:rPr>
          </w:pPr>
          <w:hyperlink w:anchor="_Toc130312760" w:history="1">
            <w:r w:rsidRPr="00FA7D9A">
              <w:rPr>
                <w:rStyle w:val="Hyperlink"/>
                <w:noProof/>
              </w:rPr>
              <w:t>9.4. Garantili ve Koruma Amaçlı Fonların Portföy Bilgilerine İlişkin Açıklama</w:t>
            </w:r>
            <w:r>
              <w:rPr>
                <w:noProof/>
                <w:webHidden/>
              </w:rPr>
              <w:tab/>
            </w:r>
            <w:r>
              <w:rPr>
                <w:noProof/>
                <w:webHidden/>
              </w:rPr>
              <w:fldChar w:fldCharType="begin"/>
            </w:r>
            <w:r>
              <w:rPr>
                <w:noProof/>
                <w:webHidden/>
              </w:rPr>
              <w:instrText xml:space="preserve"> PAGEREF _Toc130312760 \h </w:instrText>
            </w:r>
            <w:r>
              <w:rPr>
                <w:noProof/>
                <w:webHidden/>
              </w:rPr>
            </w:r>
            <w:r>
              <w:rPr>
                <w:noProof/>
                <w:webHidden/>
              </w:rPr>
              <w:fldChar w:fldCharType="separate"/>
            </w:r>
            <w:r>
              <w:rPr>
                <w:noProof/>
                <w:webHidden/>
              </w:rPr>
              <w:t>58</w:t>
            </w:r>
            <w:r>
              <w:rPr>
                <w:noProof/>
                <w:webHidden/>
              </w:rPr>
              <w:fldChar w:fldCharType="end"/>
            </w:r>
          </w:hyperlink>
        </w:p>
        <w:p w:rsidR="00077E82" w:rsidRDefault="00077E82">
          <w:pPr>
            <w:pStyle w:val="TOC2"/>
            <w:rPr>
              <w:rFonts w:eastAsiaTheme="minorEastAsia"/>
              <w:noProof/>
              <w:lang w:eastAsia="tr-TR"/>
            </w:rPr>
          </w:pPr>
          <w:hyperlink w:anchor="_Toc130312761" w:history="1">
            <w:r w:rsidRPr="00FA7D9A">
              <w:rPr>
                <w:rStyle w:val="Hyperlink"/>
                <w:noProof/>
              </w:rPr>
              <w:t xml:space="preserve">9.5. (Ek: 19.02.2015 tarih ve 4/206 sayılı Kurul Kararı ile) (Değişiklik: 05.12.2019 tarih ve 70/1567 sayılı Kurul Kararı ile) </w:t>
            </w:r>
            <w:r w:rsidRPr="00FA7D9A">
              <w:rPr>
                <w:rStyle w:val="Hyperlink"/>
                <w:bCs/>
                <w:iCs/>
                <w:noProof/>
              </w:rPr>
              <w:t>Serbest Fonların Kamuyu Aydınlatma Esasları</w:t>
            </w:r>
            <w:r>
              <w:rPr>
                <w:noProof/>
                <w:webHidden/>
              </w:rPr>
              <w:tab/>
            </w:r>
            <w:r>
              <w:rPr>
                <w:noProof/>
                <w:webHidden/>
              </w:rPr>
              <w:fldChar w:fldCharType="begin"/>
            </w:r>
            <w:r>
              <w:rPr>
                <w:noProof/>
                <w:webHidden/>
              </w:rPr>
              <w:instrText xml:space="preserve"> PAGEREF _Toc130312761 \h </w:instrText>
            </w:r>
            <w:r>
              <w:rPr>
                <w:noProof/>
                <w:webHidden/>
              </w:rPr>
            </w:r>
            <w:r>
              <w:rPr>
                <w:noProof/>
                <w:webHidden/>
              </w:rPr>
              <w:fldChar w:fldCharType="separate"/>
            </w:r>
            <w:r>
              <w:rPr>
                <w:noProof/>
                <w:webHidden/>
              </w:rPr>
              <w:t>58</w:t>
            </w:r>
            <w:r>
              <w:rPr>
                <w:noProof/>
                <w:webHidden/>
              </w:rPr>
              <w:fldChar w:fldCharType="end"/>
            </w:r>
          </w:hyperlink>
        </w:p>
        <w:p w:rsidR="00077E82" w:rsidRDefault="00077E82">
          <w:pPr>
            <w:pStyle w:val="TOC2"/>
            <w:rPr>
              <w:rFonts w:eastAsiaTheme="minorEastAsia"/>
              <w:noProof/>
              <w:lang w:eastAsia="tr-TR"/>
            </w:rPr>
          </w:pPr>
          <w:hyperlink w:anchor="_Toc130312762" w:history="1">
            <w:r w:rsidRPr="00FA7D9A">
              <w:rPr>
                <w:rStyle w:val="Hyperlink"/>
                <w:noProof/>
              </w:rPr>
              <w:t>9.6. (Ek: 20.06.2018 tarih ve 26/740 sayılı Kurul Kararı ile) Performans Sunum Raporlarında Kullanılacak Pay Endekslerine İlişkin Esaslar</w:t>
            </w:r>
            <w:r>
              <w:rPr>
                <w:noProof/>
                <w:webHidden/>
              </w:rPr>
              <w:tab/>
            </w:r>
            <w:r>
              <w:rPr>
                <w:noProof/>
                <w:webHidden/>
              </w:rPr>
              <w:fldChar w:fldCharType="begin"/>
            </w:r>
            <w:r>
              <w:rPr>
                <w:noProof/>
                <w:webHidden/>
              </w:rPr>
              <w:instrText xml:space="preserve"> PAGEREF _Toc130312762 \h </w:instrText>
            </w:r>
            <w:r>
              <w:rPr>
                <w:noProof/>
                <w:webHidden/>
              </w:rPr>
            </w:r>
            <w:r>
              <w:rPr>
                <w:noProof/>
                <w:webHidden/>
              </w:rPr>
              <w:fldChar w:fldCharType="separate"/>
            </w:r>
            <w:r>
              <w:rPr>
                <w:noProof/>
                <w:webHidden/>
              </w:rPr>
              <w:t>58</w:t>
            </w:r>
            <w:r>
              <w:rPr>
                <w:noProof/>
                <w:webHidden/>
              </w:rPr>
              <w:fldChar w:fldCharType="end"/>
            </w:r>
          </w:hyperlink>
        </w:p>
        <w:p w:rsidR="00077E82" w:rsidRDefault="00077E82">
          <w:pPr>
            <w:pStyle w:val="TOC2"/>
            <w:rPr>
              <w:rFonts w:eastAsiaTheme="minorEastAsia"/>
              <w:noProof/>
              <w:lang w:eastAsia="tr-TR"/>
            </w:rPr>
          </w:pPr>
          <w:hyperlink w:anchor="_Toc130312763" w:history="1">
            <w:r w:rsidRPr="00FA7D9A">
              <w:rPr>
                <w:rStyle w:val="Hyperlink"/>
                <w:noProof/>
              </w:rPr>
              <w:t>9.7. (Ek: 14.10.2021 tarih ve 53/1512 sayılı Kurul Kararı ile) Performans Sunuş Raporlarının İlan Edilmesine İlişkin Esaslar</w:t>
            </w:r>
            <w:r>
              <w:rPr>
                <w:noProof/>
                <w:webHidden/>
              </w:rPr>
              <w:tab/>
            </w:r>
            <w:r>
              <w:rPr>
                <w:noProof/>
                <w:webHidden/>
              </w:rPr>
              <w:fldChar w:fldCharType="begin"/>
            </w:r>
            <w:r>
              <w:rPr>
                <w:noProof/>
                <w:webHidden/>
              </w:rPr>
              <w:instrText xml:space="preserve"> PAGEREF _Toc130312763 \h </w:instrText>
            </w:r>
            <w:r>
              <w:rPr>
                <w:noProof/>
                <w:webHidden/>
              </w:rPr>
            </w:r>
            <w:r>
              <w:rPr>
                <w:noProof/>
                <w:webHidden/>
              </w:rPr>
              <w:fldChar w:fldCharType="separate"/>
            </w:r>
            <w:r>
              <w:rPr>
                <w:noProof/>
                <w:webHidden/>
              </w:rPr>
              <w:t>59</w:t>
            </w:r>
            <w:r>
              <w:rPr>
                <w:noProof/>
                <w:webHidden/>
              </w:rPr>
              <w:fldChar w:fldCharType="end"/>
            </w:r>
          </w:hyperlink>
        </w:p>
        <w:p w:rsidR="00077E82" w:rsidRDefault="00077E82">
          <w:pPr>
            <w:pStyle w:val="TOC1"/>
            <w:rPr>
              <w:rFonts w:eastAsiaTheme="minorEastAsia"/>
              <w:noProof/>
              <w:lang w:eastAsia="tr-TR"/>
            </w:rPr>
          </w:pPr>
          <w:hyperlink w:anchor="_Toc130312764" w:history="1">
            <w:r w:rsidRPr="00FA7D9A">
              <w:rPr>
                <w:rStyle w:val="Hyperlink"/>
                <w:noProof/>
              </w:rPr>
              <w:t>10. Kurul Ücreti</w:t>
            </w:r>
            <w:r>
              <w:rPr>
                <w:noProof/>
                <w:webHidden/>
              </w:rPr>
              <w:tab/>
            </w:r>
            <w:r>
              <w:rPr>
                <w:noProof/>
                <w:webHidden/>
              </w:rPr>
              <w:fldChar w:fldCharType="begin"/>
            </w:r>
            <w:r>
              <w:rPr>
                <w:noProof/>
                <w:webHidden/>
              </w:rPr>
              <w:instrText xml:space="preserve"> PAGEREF _Toc130312764 \h </w:instrText>
            </w:r>
            <w:r>
              <w:rPr>
                <w:noProof/>
                <w:webHidden/>
              </w:rPr>
            </w:r>
            <w:r>
              <w:rPr>
                <w:noProof/>
                <w:webHidden/>
              </w:rPr>
              <w:fldChar w:fldCharType="separate"/>
            </w:r>
            <w:r>
              <w:rPr>
                <w:noProof/>
                <w:webHidden/>
              </w:rPr>
              <w:t>59</w:t>
            </w:r>
            <w:r>
              <w:rPr>
                <w:noProof/>
                <w:webHidden/>
              </w:rPr>
              <w:fldChar w:fldCharType="end"/>
            </w:r>
          </w:hyperlink>
        </w:p>
        <w:p w:rsidR="00077E82" w:rsidRDefault="00077E82">
          <w:pPr>
            <w:pStyle w:val="TOC1"/>
            <w:rPr>
              <w:rFonts w:eastAsiaTheme="minorEastAsia"/>
              <w:noProof/>
              <w:lang w:eastAsia="tr-TR"/>
            </w:rPr>
          </w:pPr>
          <w:hyperlink w:anchor="_Toc130312765" w:history="1">
            <w:r w:rsidRPr="00FA7D9A">
              <w:rPr>
                <w:rStyle w:val="Hyperlink"/>
                <w:noProof/>
              </w:rPr>
              <w:t>11. Tasfiye Olan veya İtfa Edilen Fonlar (Değişiklik: 02.10.2015 tarih ve 27/1215 sayılı Kurul Kararı ile)</w:t>
            </w:r>
            <w:r>
              <w:rPr>
                <w:noProof/>
                <w:webHidden/>
              </w:rPr>
              <w:tab/>
            </w:r>
            <w:r>
              <w:rPr>
                <w:noProof/>
                <w:webHidden/>
              </w:rPr>
              <w:fldChar w:fldCharType="begin"/>
            </w:r>
            <w:r>
              <w:rPr>
                <w:noProof/>
                <w:webHidden/>
              </w:rPr>
              <w:instrText xml:space="preserve"> PAGEREF _Toc130312765 \h </w:instrText>
            </w:r>
            <w:r>
              <w:rPr>
                <w:noProof/>
                <w:webHidden/>
              </w:rPr>
            </w:r>
            <w:r>
              <w:rPr>
                <w:noProof/>
                <w:webHidden/>
              </w:rPr>
              <w:fldChar w:fldCharType="separate"/>
            </w:r>
            <w:r>
              <w:rPr>
                <w:noProof/>
                <w:webHidden/>
              </w:rPr>
              <w:t>60</w:t>
            </w:r>
            <w:r>
              <w:rPr>
                <w:noProof/>
                <w:webHidden/>
              </w:rPr>
              <w:fldChar w:fldCharType="end"/>
            </w:r>
          </w:hyperlink>
        </w:p>
        <w:p w:rsidR="00077E82" w:rsidRDefault="00077E82">
          <w:pPr>
            <w:pStyle w:val="TOC1"/>
            <w:rPr>
              <w:rFonts w:eastAsiaTheme="minorEastAsia"/>
              <w:noProof/>
              <w:lang w:eastAsia="tr-TR"/>
            </w:rPr>
          </w:pPr>
          <w:hyperlink w:anchor="_Toc130312766" w:history="1">
            <w:r w:rsidRPr="00FA7D9A">
              <w:rPr>
                <w:rStyle w:val="Hyperlink"/>
                <w:noProof/>
                <w:lang w:eastAsia="tr-TR"/>
              </w:rPr>
              <w:t>12. Diğer Esaslar</w:t>
            </w:r>
            <w:r>
              <w:rPr>
                <w:noProof/>
                <w:webHidden/>
              </w:rPr>
              <w:tab/>
            </w:r>
            <w:r>
              <w:rPr>
                <w:noProof/>
                <w:webHidden/>
              </w:rPr>
              <w:fldChar w:fldCharType="begin"/>
            </w:r>
            <w:r>
              <w:rPr>
                <w:noProof/>
                <w:webHidden/>
              </w:rPr>
              <w:instrText xml:space="preserve"> PAGEREF _Toc130312766 \h </w:instrText>
            </w:r>
            <w:r>
              <w:rPr>
                <w:noProof/>
                <w:webHidden/>
              </w:rPr>
            </w:r>
            <w:r>
              <w:rPr>
                <w:noProof/>
                <w:webHidden/>
              </w:rPr>
              <w:fldChar w:fldCharType="separate"/>
            </w:r>
            <w:r>
              <w:rPr>
                <w:noProof/>
                <w:webHidden/>
              </w:rPr>
              <w:t>62</w:t>
            </w:r>
            <w:r>
              <w:rPr>
                <w:noProof/>
                <w:webHidden/>
              </w:rPr>
              <w:fldChar w:fldCharType="end"/>
            </w:r>
          </w:hyperlink>
        </w:p>
        <w:p w:rsidR="00077E82" w:rsidRDefault="00077E82">
          <w:pPr>
            <w:pStyle w:val="TOC2"/>
            <w:rPr>
              <w:rFonts w:eastAsiaTheme="minorEastAsia"/>
              <w:noProof/>
              <w:lang w:eastAsia="tr-TR"/>
            </w:rPr>
          </w:pPr>
          <w:hyperlink w:anchor="_Toc130312767" w:history="1">
            <w:r w:rsidRPr="00FA7D9A">
              <w:rPr>
                <w:rStyle w:val="Hyperlink"/>
                <w:noProof/>
              </w:rPr>
              <w:t>12.1. Kurucu’nun Yönetim Kurulu Tarafından Alınması Zorunlu Olan Kararlar</w:t>
            </w:r>
            <w:r>
              <w:rPr>
                <w:noProof/>
                <w:webHidden/>
              </w:rPr>
              <w:tab/>
            </w:r>
            <w:r>
              <w:rPr>
                <w:noProof/>
                <w:webHidden/>
              </w:rPr>
              <w:fldChar w:fldCharType="begin"/>
            </w:r>
            <w:r>
              <w:rPr>
                <w:noProof/>
                <w:webHidden/>
              </w:rPr>
              <w:instrText xml:space="preserve"> PAGEREF _Toc130312767 \h </w:instrText>
            </w:r>
            <w:r>
              <w:rPr>
                <w:noProof/>
                <w:webHidden/>
              </w:rPr>
            </w:r>
            <w:r>
              <w:rPr>
                <w:noProof/>
                <w:webHidden/>
              </w:rPr>
              <w:fldChar w:fldCharType="separate"/>
            </w:r>
            <w:r>
              <w:rPr>
                <w:noProof/>
                <w:webHidden/>
              </w:rPr>
              <w:t>62</w:t>
            </w:r>
            <w:r>
              <w:rPr>
                <w:noProof/>
                <w:webHidden/>
              </w:rPr>
              <w:fldChar w:fldCharType="end"/>
            </w:r>
          </w:hyperlink>
        </w:p>
        <w:p w:rsidR="00077E82" w:rsidRDefault="00077E82">
          <w:pPr>
            <w:pStyle w:val="TOC2"/>
            <w:rPr>
              <w:rFonts w:eastAsiaTheme="minorEastAsia"/>
              <w:noProof/>
              <w:lang w:eastAsia="tr-TR"/>
            </w:rPr>
          </w:pPr>
          <w:hyperlink w:anchor="_Toc130312768" w:history="1">
            <w:r w:rsidRPr="00FA7D9A">
              <w:rPr>
                <w:rStyle w:val="Hyperlink"/>
                <w:noProof/>
              </w:rPr>
              <w:t>12.2. Fon Malvarlığının Yapay Olarak Artırılamaması</w:t>
            </w:r>
            <w:r>
              <w:rPr>
                <w:noProof/>
                <w:webHidden/>
              </w:rPr>
              <w:tab/>
            </w:r>
            <w:r>
              <w:rPr>
                <w:noProof/>
                <w:webHidden/>
              </w:rPr>
              <w:fldChar w:fldCharType="begin"/>
            </w:r>
            <w:r>
              <w:rPr>
                <w:noProof/>
                <w:webHidden/>
              </w:rPr>
              <w:instrText xml:space="preserve"> PAGEREF _Toc130312768 \h </w:instrText>
            </w:r>
            <w:r>
              <w:rPr>
                <w:noProof/>
                <w:webHidden/>
              </w:rPr>
            </w:r>
            <w:r>
              <w:rPr>
                <w:noProof/>
                <w:webHidden/>
              </w:rPr>
              <w:fldChar w:fldCharType="separate"/>
            </w:r>
            <w:r>
              <w:rPr>
                <w:noProof/>
                <w:webHidden/>
              </w:rPr>
              <w:t>63</w:t>
            </w:r>
            <w:r>
              <w:rPr>
                <w:noProof/>
                <w:webHidden/>
              </w:rPr>
              <w:fldChar w:fldCharType="end"/>
            </w:r>
          </w:hyperlink>
        </w:p>
        <w:p w:rsidR="00077E82" w:rsidRDefault="00077E82">
          <w:pPr>
            <w:pStyle w:val="TOC2"/>
            <w:rPr>
              <w:rFonts w:eastAsiaTheme="minorEastAsia"/>
              <w:noProof/>
              <w:lang w:eastAsia="tr-TR"/>
            </w:rPr>
          </w:pPr>
          <w:hyperlink w:anchor="_Toc130312769" w:history="1">
            <w:r w:rsidRPr="00FA7D9A">
              <w:rPr>
                <w:rStyle w:val="Hyperlink"/>
                <w:noProof/>
              </w:rPr>
              <w:t>12.3. Fon Tebliği’nde Yer Alan Geçici Maddelerin Uygulama Esasları</w:t>
            </w:r>
            <w:r>
              <w:rPr>
                <w:noProof/>
                <w:webHidden/>
              </w:rPr>
              <w:tab/>
            </w:r>
            <w:r>
              <w:rPr>
                <w:noProof/>
                <w:webHidden/>
              </w:rPr>
              <w:fldChar w:fldCharType="begin"/>
            </w:r>
            <w:r>
              <w:rPr>
                <w:noProof/>
                <w:webHidden/>
              </w:rPr>
              <w:instrText xml:space="preserve"> PAGEREF _Toc130312769 \h </w:instrText>
            </w:r>
            <w:r>
              <w:rPr>
                <w:noProof/>
                <w:webHidden/>
              </w:rPr>
            </w:r>
            <w:r>
              <w:rPr>
                <w:noProof/>
                <w:webHidden/>
              </w:rPr>
              <w:fldChar w:fldCharType="separate"/>
            </w:r>
            <w:r>
              <w:rPr>
                <w:noProof/>
                <w:webHidden/>
              </w:rPr>
              <w:t>63</w:t>
            </w:r>
            <w:r>
              <w:rPr>
                <w:noProof/>
                <w:webHidden/>
              </w:rPr>
              <w:fldChar w:fldCharType="end"/>
            </w:r>
          </w:hyperlink>
        </w:p>
        <w:p w:rsidR="00077E82" w:rsidRDefault="00077E82">
          <w:pPr>
            <w:pStyle w:val="TOC2"/>
            <w:rPr>
              <w:rFonts w:eastAsiaTheme="minorEastAsia"/>
              <w:noProof/>
              <w:lang w:eastAsia="tr-TR"/>
            </w:rPr>
          </w:pPr>
          <w:hyperlink w:anchor="_Toc130312770" w:history="1">
            <w:r w:rsidRPr="00FA7D9A">
              <w:rPr>
                <w:rStyle w:val="Hyperlink"/>
                <w:rFonts w:eastAsia="Times New Roman" w:cs="Times New Roman"/>
                <w:noProof/>
              </w:rPr>
              <w:t xml:space="preserve">12.4. </w:t>
            </w:r>
            <w:r w:rsidRPr="00FA7D9A">
              <w:rPr>
                <w:rStyle w:val="Hyperlink"/>
                <w:noProof/>
              </w:rPr>
              <w:t xml:space="preserve">(Ek: 07.02.2019 tarih ve 8/184 sayılı Kurul Kararı ile) </w:t>
            </w:r>
            <w:r w:rsidRPr="00FA7D9A">
              <w:rPr>
                <w:rStyle w:val="Hyperlink"/>
                <w:rFonts w:eastAsia="Times New Roman" w:cs="Times New Roman"/>
                <w:noProof/>
              </w:rPr>
              <w:t>Özel Sektör Borçlanma Araçlarına ve Kira Sertifikalarına Karşılık Ayrılması ile Yan Hesap (Side Pocket) Oluşturulmasına İlişkin Esaslar</w:t>
            </w:r>
            <w:r>
              <w:rPr>
                <w:noProof/>
                <w:webHidden/>
              </w:rPr>
              <w:tab/>
            </w:r>
            <w:r>
              <w:rPr>
                <w:noProof/>
                <w:webHidden/>
              </w:rPr>
              <w:fldChar w:fldCharType="begin"/>
            </w:r>
            <w:r>
              <w:rPr>
                <w:noProof/>
                <w:webHidden/>
              </w:rPr>
              <w:instrText xml:space="preserve"> PAGEREF _Toc130312770 \h </w:instrText>
            </w:r>
            <w:r>
              <w:rPr>
                <w:noProof/>
                <w:webHidden/>
              </w:rPr>
            </w:r>
            <w:r>
              <w:rPr>
                <w:noProof/>
                <w:webHidden/>
              </w:rPr>
              <w:fldChar w:fldCharType="separate"/>
            </w:r>
            <w:r>
              <w:rPr>
                <w:noProof/>
                <w:webHidden/>
              </w:rPr>
              <w:t>65</w:t>
            </w:r>
            <w:r>
              <w:rPr>
                <w:noProof/>
                <w:webHidden/>
              </w:rPr>
              <w:fldChar w:fldCharType="end"/>
            </w:r>
          </w:hyperlink>
        </w:p>
        <w:p w:rsidR="00077E82" w:rsidRDefault="00077E82">
          <w:pPr>
            <w:pStyle w:val="TOC2"/>
            <w:rPr>
              <w:rFonts w:eastAsiaTheme="minorEastAsia"/>
              <w:noProof/>
              <w:lang w:eastAsia="tr-TR"/>
            </w:rPr>
          </w:pPr>
          <w:hyperlink w:anchor="_Toc130312771" w:history="1">
            <w:r w:rsidRPr="00FA7D9A">
              <w:rPr>
                <w:rStyle w:val="Hyperlink"/>
                <w:noProof/>
              </w:rPr>
              <w:t>12.5. (Ek: 21.03.2023 tarih ve 17/366 sayılı Kurul Kararı ile) Yatırım Fonları Tarafından Ortaklık Payları ile İlgili Yapılan İşlemlere İlişkin Esaslar</w:t>
            </w:r>
            <w:r>
              <w:rPr>
                <w:noProof/>
                <w:webHidden/>
              </w:rPr>
              <w:tab/>
            </w:r>
            <w:r>
              <w:rPr>
                <w:noProof/>
                <w:webHidden/>
              </w:rPr>
              <w:fldChar w:fldCharType="begin"/>
            </w:r>
            <w:r>
              <w:rPr>
                <w:noProof/>
                <w:webHidden/>
              </w:rPr>
              <w:instrText xml:space="preserve"> PAGEREF _Toc130312771 \h </w:instrText>
            </w:r>
            <w:r>
              <w:rPr>
                <w:noProof/>
                <w:webHidden/>
              </w:rPr>
            </w:r>
            <w:r>
              <w:rPr>
                <w:noProof/>
                <w:webHidden/>
              </w:rPr>
              <w:fldChar w:fldCharType="separate"/>
            </w:r>
            <w:r>
              <w:rPr>
                <w:noProof/>
                <w:webHidden/>
              </w:rPr>
              <w:t>66</w:t>
            </w:r>
            <w:r>
              <w:rPr>
                <w:noProof/>
                <w:webHidden/>
              </w:rPr>
              <w:fldChar w:fldCharType="end"/>
            </w:r>
          </w:hyperlink>
        </w:p>
        <w:p w:rsidR="00077E82" w:rsidRDefault="00077E82">
          <w:pPr>
            <w:pStyle w:val="TOC1"/>
            <w:rPr>
              <w:rFonts w:eastAsiaTheme="minorEastAsia"/>
              <w:noProof/>
              <w:lang w:eastAsia="tr-TR"/>
            </w:rPr>
          </w:pPr>
          <w:hyperlink w:anchor="_Toc130312772" w:history="1">
            <w:r w:rsidRPr="00FA7D9A">
              <w:rPr>
                <w:rStyle w:val="Hyperlink"/>
                <w:noProof/>
              </w:rPr>
              <w:t>Geçici Madde 1 (Ek: 20.06.2018 tarih ve 26/740 sayılı Kurul Kararı ile)</w:t>
            </w:r>
            <w:r>
              <w:rPr>
                <w:noProof/>
                <w:webHidden/>
              </w:rPr>
              <w:tab/>
            </w:r>
            <w:r>
              <w:rPr>
                <w:noProof/>
                <w:webHidden/>
              </w:rPr>
              <w:fldChar w:fldCharType="begin"/>
            </w:r>
            <w:r>
              <w:rPr>
                <w:noProof/>
                <w:webHidden/>
              </w:rPr>
              <w:instrText xml:space="preserve"> PAGEREF _Toc130312772 \h </w:instrText>
            </w:r>
            <w:r>
              <w:rPr>
                <w:noProof/>
                <w:webHidden/>
              </w:rPr>
            </w:r>
            <w:r>
              <w:rPr>
                <w:noProof/>
                <w:webHidden/>
              </w:rPr>
              <w:fldChar w:fldCharType="separate"/>
            </w:r>
            <w:r>
              <w:rPr>
                <w:noProof/>
                <w:webHidden/>
              </w:rPr>
              <w:t>68</w:t>
            </w:r>
            <w:r>
              <w:rPr>
                <w:noProof/>
                <w:webHidden/>
              </w:rPr>
              <w:fldChar w:fldCharType="end"/>
            </w:r>
          </w:hyperlink>
        </w:p>
        <w:p w:rsidR="00077E82" w:rsidRDefault="00077E82">
          <w:pPr>
            <w:pStyle w:val="TOC1"/>
            <w:rPr>
              <w:rFonts w:eastAsiaTheme="minorEastAsia"/>
              <w:noProof/>
              <w:lang w:eastAsia="tr-TR"/>
            </w:rPr>
          </w:pPr>
          <w:hyperlink w:anchor="_Toc130312773" w:history="1">
            <w:r w:rsidRPr="00FA7D9A">
              <w:rPr>
                <w:rStyle w:val="Hyperlink"/>
                <w:noProof/>
              </w:rPr>
              <w:t>13. Yürürlük</w:t>
            </w:r>
            <w:r>
              <w:rPr>
                <w:noProof/>
                <w:webHidden/>
              </w:rPr>
              <w:tab/>
            </w:r>
            <w:r>
              <w:rPr>
                <w:noProof/>
                <w:webHidden/>
              </w:rPr>
              <w:fldChar w:fldCharType="begin"/>
            </w:r>
            <w:r>
              <w:rPr>
                <w:noProof/>
                <w:webHidden/>
              </w:rPr>
              <w:instrText xml:space="preserve"> PAGEREF _Toc130312773 \h </w:instrText>
            </w:r>
            <w:r>
              <w:rPr>
                <w:noProof/>
                <w:webHidden/>
              </w:rPr>
            </w:r>
            <w:r>
              <w:rPr>
                <w:noProof/>
                <w:webHidden/>
              </w:rPr>
              <w:fldChar w:fldCharType="separate"/>
            </w:r>
            <w:r>
              <w:rPr>
                <w:noProof/>
                <w:webHidden/>
              </w:rPr>
              <w:t>68</w:t>
            </w:r>
            <w:r>
              <w:rPr>
                <w:noProof/>
                <w:webHidden/>
              </w:rPr>
              <w:fldChar w:fldCharType="end"/>
            </w:r>
          </w:hyperlink>
        </w:p>
        <w:p w:rsidR="00960459" w:rsidRPr="00D26A13" w:rsidRDefault="00600341" w:rsidP="00071F0A">
          <w:pPr>
            <w:pStyle w:val="TOC1"/>
            <w:rPr>
              <w:rFonts w:ascii="Times New Roman" w:hAnsi="Times New Roman" w:cs="Times New Roman"/>
            </w:rPr>
          </w:pPr>
          <w:r w:rsidRPr="00313BA3">
            <w:rPr>
              <w:rFonts w:ascii="Times New Roman" w:hAnsi="Times New Roman" w:cs="Times New Roman"/>
              <w:b/>
              <w:bCs/>
              <w:noProof/>
            </w:rPr>
            <w:fldChar w:fldCharType="end"/>
          </w:r>
        </w:p>
      </w:sdtContent>
    </w:sdt>
    <w:tbl>
      <w:tblPr>
        <w:tblStyle w:val="TableGrid"/>
        <w:tblW w:w="949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946"/>
      </w:tblGrid>
      <w:tr w:rsidR="00A03745" w:rsidRPr="000100CE" w:rsidTr="00C86E12">
        <w:trPr>
          <w:trHeight w:val="983"/>
        </w:trPr>
        <w:tc>
          <w:tcPr>
            <w:tcW w:w="9498" w:type="dxa"/>
            <w:gridSpan w:val="2"/>
          </w:tcPr>
          <w:p w:rsidR="00C344F4" w:rsidRDefault="00D37727" w:rsidP="00A56F15">
            <w:pPr>
              <w:pStyle w:val="Heading1"/>
              <w:jc w:val="center"/>
              <w:outlineLvl w:val="0"/>
              <w:rPr>
                <w:b w:val="0"/>
              </w:rPr>
            </w:pPr>
            <w:r w:rsidRPr="00AC1B70">
              <w:rPr>
                <w:rFonts w:cs="Times New Roman"/>
              </w:rPr>
              <w:br w:type="page"/>
            </w:r>
            <w:r w:rsidR="00A56F15">
              <w:rPr>
                <w:b w:val="0"/>
              </w:rPr>
              <w:br w:type="page"/>
            </w:r>
          </w:p>
          <w:p w:rsidR="00A03745" w:rsidRPr="00A56F15" w:rsidRDefault="00A03745" w:rsidP="00A56F15">
            <w:pPr>
              <w:pStyle w:val="Heading1"/>
              <w:jc w:val="center"/>
              <w:outlineLvl w:val="0"/>
              <w:rPr>
                <w:rFonts w:eastAsia="Times New Roman"/>
                <w:lang w:eastAsia="tr-TR"/>
              </w:rPr>
            </w:pPr>
            <w:bookmarkStart w:id="0" w:name="_Toc130312528"/>
            <w:bookmarkStart w:id="1" w:name="_Toc130312660"/>
            <w:r w:rsidRPr="00A56F15">
              <w:rPr>
                <w:rFonts w:eastAsia="Times New Roman"/>
                <w:lang w:eastAsia="tr-TR"/>
              </w:rPr>
              <w:t>TANIMLAR</w:t>
            </w:r>
            <w:bookmarkEnd w:id="0"/>
            <w:bookmarkEnd w:id="1"/>
          </w:p>
          <w:p w:rsidR="005C5028" w:rsidRDefault="005C5028" w:rsidP="00A56F15">
            <w:pPr>
              <w:rPr>
                <w:rFonts w:ascii="Times New Roman" w:hAnsi="Times New Roman" w:cs="Times New Roman"/>
                <w:b/>
                <w:bCs/>
                <w:sz w:val="24"/>
                <w:szCs w:val="24"/>
                <w:lang w:eastAsia="tr-TR"/>
              </w:rPr>
            </w:pPr>
          </w:p>
          <w:p w:rsidR="00A03745" w:rsidRPr="005C5028" w:rsidRDefault="00A03745" w:rsidP="00A56F15">
            <w:pPr>
              <w:rPr>
                <w:rFonts w:ascii="Times New Roman" w:hAnsi="Times New Roman" w:cs="Times New Roman"/>
                <w:bCs/>
                <w:sz w:val="24"/>
                <w:szCs w:val="24"/>
                <w:lang w:eastAsia="tr-TR"/>
              </w:rPr>
            </w:pPr>
            <w:r w:rsidRPr="005C5028">
              <w:rPr>
                <w:rFonts w:ascii="Times New Roman" w:hAnsi="Times New Roman" w:cs="Times New Roman"/>
                <w:bCs/>
                <w:sz w:val="24"/>
                <w:szCs w:val="24"/>
                <w:lang w:eastAsia="tr-TR"/>
              </w:rPr>
              <w:t>Bu Rehber’de geçen;</w:t>
            </w:r>
          </w:p>
          <w:p w:rsidR="00A03745" w:rsidRPr="00B37397" w:rsidRDefault="00A03745" w:rsidP="00A56F15">
            <w:pPr>
              <w:rPr>
                <w:rFonts w:ascii="Times New Roman" w:hAnsi="Times New Roman" w:cs="Times New Roman"/>
                <w:sz w:val="24"/>
                <w:szCs w:val="24"/>
                <w:lang w:eastAsia="tr-TR"/>
              </w:rPr>
            </w:pPr>
          </w:p>
        </w:tc>
      </w:tr>
      <w:tr w:rsidR="00F565AA" w:rsidRPr="000100CE" w:rsidTr="00C86E12">
        <w:tc>
          <w:tcPr>
            <w:tcW w:w="2552" w:type="dxa"/>
          </w:tcPr>
          <w:p w:rsidR="00F565AA" w:rsidRPr="000100CE" w:rsidRDefault="00F565AA" w:rsidP="00F565AA">
            <w:pPr>
              <w:jc w:val="both"/>
              <w:rPr>
                <w:rFonts w:ascii="Times New Roman" w:hAnsi="Times New Roman" w:cs="Times New Roman"/>
                <w:b/>
                <w:bCs/>
                <w:sz w:val="24"/>
                <w:szCs w:val="24"/>
                <w:lang w:eastAsia="tr-TR"/>
              </w:rPr>
            </w:pPr>
            <w:r w:rsidRPr="000100CE">
              <w:rPr>
                <w:rFonts w:ascii="Times New Roman" w:hAnsi="Times New Roman" w:cs="Times New Roman"/>
                <w:b/>
                <w:bCs/>
                <w:sz w:val="24"/>
                <w:szCs w:val="24"/>
                <w:lang w:eastAsia="tr-TR"/>
              </w:rPr>
              <w:t>B</w:t>
            </w:r>
            <w:r>
              <w:rPr>
                <w:rFonts w:ascii="Times New Roman" w:hAnsi="Times New Roman" w:cs="Times New Roman"/>
                <w:b/>
                <w:bCs/>
                <w:sz w:val="24"/>
                <w:szCs w:val="24"/>
                <w:lang w:eastAsia="tr-TR"/>
              </w:rPr>
              <w:t>İAŞ</w:t>
            </w:r>
            <w:r w:rsidRPr="0051763D">
              <w:rPr>
                <w:rFonts w:ascii="Times New Roman" w:hAnsi="Times New Roman" w:cs="Times New Roman"/>
                <w:b/>
                <w:bCs/>
                <w:sz w:val="24"/>
                <w:szCs w:val="24"/>
                <w:lang w:eastAsia="tr-TR"/>
              </w:rPr>
              <w:t>:</w:t>
            </w:r>
          </w:p>
        </w:tc>
        <w:tc>
          <w:tcPr>
            <w:tcW w:w="6946" w:type="dxa"/>
          </w:tcPr>
          <w:p w:rsidR="00F565AA" w:rsidRPr="0051763D" w:rsidRDefault="00F565AA" w:rsidP="00F565AA">
            <w:pPr>
              <w:jc w:val="both"/>
              <w:rPr>
                <w:rFonts w:ascii="Times New Roman" w:hAnsi="Times New Roman" w:cs="Times New Roman"/>
                <w:bCs/>
                <w:sz w:val="24"/>
                <w:szCs w:val="24"/>
                <w:lang w:eastAsia="tr-TR"/>
              </w:rPr>
            </w:pPr>
            <w:r w:rsidRPr="0051763D">
              <w:rPr>
                <w:rFonts w:ascii="Times New Roman" w:hAnsi="Times New Roman" w:cs="Times New Roman"/>
                <w:bCs/>
                <w:sz w:val="24"/>
                <w:szCs w:val="24"/>
                <w:lang w:eastAsia="tr-TR"/>
              </w:rPr>
              <w:t>B</w:t>
            </w:r>
            <w:r>
              <w:rPr>
                <w:rFonts w:ascii="Times New Roman" w:hAnsi="Times New Roman" w:cs="Times New Roman"/>
                <w:bCs/>
                <w:sz w:val="24"/>
                <w:szCs w:val="24"/>
                <w:lang w:eastAsia="tr-TR"/>
              </w:rPr>
              <w:t>o</w:t>
            </w:r>
            <w:r w:rsidRPr="000100CE">
              <w:rPr>
                <w:rFonts w:ascii="Times New Roman" w:hAnsi="Times New Roman" w:cs="Times New Roman"/>
                <w:bCs/>
                <w:sz w:val="24"/>
                <w:szCs w:val="24"/>
                <w:lang w:eastAsia="tr-TR"/>
              </w:rPr>
              <w:t>rsa İstanbul A.Ş.’yi,</w:t>
            </w:r>
          </w:p>
        </w:tc>
      </w:tr>
      <w:tr w:rsidR="00F565AA" w:rsidRPr="000100CE" w:rsidTr="00C86E12">
        <w:tc>
          <w:tcPr>
            <w:tcW w:w="2552" w:type="dxa"/>
          </w:tcPr>
          <w:p w:rsidR="00F565AA" w:rsidRPr="00846868" w:rsidRDefault="00F565AA" w:rsidP="00F565AA">
            <w:pPr>
              <w:jc w:val="both"/>
              <w:rPr>
                <w:rFonts w:ascii="Times New Roman" w:hAnsi="Times New Roman" w:cs="Times New Roman"/>
                <w:b/>
                <w:bCs/>
                <w:sz w:val="24"/>
                <w:szCs w:val="24"/>
                <w:lang w:eastAsia="tr-TR"/>
              </w:rPr>
            </w:pPr>
            <w:r w:rsidRPr="00846868">
              <w:rPr>
                <w:rFonts w:ascii="Times New Roman" w:hAnsi="Times New Roman" w:cs="Times New Roman"/>
                <w:b/>
                <w:bCs/>
                <w:sz w:val="24"/>
                <w:szCs w:val="24"/>
                <w:lang w:eastAsia="tr-TR"/>
              </w:rPr>
              <w:t>Borsa:</w:t>
            </w:r>
          </w:p>
        </w:tc>
        <w:tc>
          <w:tcPr>
            <w:tcW w:w="6946" w:type="dxa"/>
          </w:tcPr>
          <w:p w:rsidR="00F565AA" w:rsidRDefault="00F565AA" w:rsidP="00F565AA">
            <w:pPr>
              <w:jc w:val="both"/>
              <w:rPr>
                <w:rFonts w:ascii="Times New Roman" w:hAnsi="Times New Roman" w:cs="Times New Roman"/>
                <w:bCs/>
                <w:sz w:val="24"/>
                <w:szCs w:val="24"/>
                <w:lang w:eastAsia="tr-TR"/>
              </w:rPr>
            </w:pPr>
            <w:r w:rsidRPr="002E7B18">
              <w:rPr>
                <w:rFonts w:ascii="Times New Roman" w:hAnsi="Times New Roman" w:cs="Times New Roman"/>
                <w:bCs/>
                <w:sz w:val="24"/>
                <w:szCs w:val="24"/>
                <w:lang w:eastAsia="tr-TR"/>
              </w:rPr>
              <w:t>6362 sayılı Kanunun 3 üncü maddesinin birinci fıkrasının (ç) bendinde tanımlanan</w:t>
            </w:r>
            <w:r>
              <w:rPr>
                <w:rFonts w:ascii="Times New Roman" w:hAnsi="Times New Roman" w:cs="Times New Roman"/>
                <w:bCs/>
                <w:sz w:val="24"/>
                <w:szCs w:val="24"/>
                <w:lang w:eastAsia="tr-TR"/>
              </w:rPr>
              <w:t xml:space="preserve"> sistemler ve pazar yerleri ile bunların muadili olduğu Kurulca kabul edilen yurt dışında kurulu sistem ve pazar yerlerini</w:t>
            </w:r>
            <w:r w:rsidRPr="002E7B18">
              <w:rPr>
                <w:rFonts w:ascii="Times New Roman" w:hAnsi="Times New Roman" w:cs="Times New Roman"/>
                <w:bCs/>
                <w:sz w:val="24"/>
                <w:szCs w:val="24"/>
                <w:lang w:eastAsia="tr-TR"/>
              </w:rPr>
              <w:t>,</w:t>
            </w:r>
          </w:p>
        </w:tc>
      </w:tr>
      <w:tr w:rsidR="00F565AA" w:rsidRPr="000100CE" w:rsidTr="00C86E12">
        <w:tc>
          <w:tcPr>
            <w:tcW w:w="2552" w:type="dxa"/>
          </w:tcPr>
          <w:p w:rsidR="00F565AA" w:rsidRPr="00846868" w:rsidRDefault="00F565AA" w:rsidP="00F565AA">
            <w:pPr>
              <w:jc w:val="both"/>
              <w:rPr>
                <w:rFonts w:ascii="Times New Roman" w:hAnsi="Times New Roman" w:cs="Times New Roman"/>
                <w:b/>
                <w:bCs/>
                <w:sz w:val="24"/>
                <w:szCs w:val="24"/>
                <w:lang w:eastAsia="tr-TR"/>
              </w:rPr>
            </w:pPr>
            <w:r>
              <w:rPr>
                <w:rFonts w:ascii="Times New Roman" w:hAnsi="Times New Roman" w:cs="Times New Roman"/>
                <w:b/>
                <w:bCs/>
                <w:sz w:val="24"/>
                <w:szCs w:val="24"/>
                <w:lang w:eastAsia="tr-TR"/>
              </w:rPr>
              <w:t xml:space="preserve">Finansal Raporlama </w:t>
            </w:r>
            <w:r w:rsidRPr="0051763D">
              <w:rPr>
                <w:rFonts w:ascii="Times New Roman" w:hAnsi="Times New Roman" w:cs="Times New Roman"/>
                <w:b/>
                <w:bCs/>
                <w:sz w:val="24"/>
                <w:szCs w:val="24"/>
                <w:lang w:eastAsia="tr-TR"/>
              </w:rPr>
              <w:t>Tebliği:</w:t>
            </w:r>
          </w:p>
        </w:tc>
        <w:tc>
          <w:tcPr>
            <w:tcW w:w="6946" w:type="dxa"/>
          </w:tcPr>
          <w:p w:rsidR="00F565AA" w:rsidRPr="002E7B18" w:rsidRDefault="00771728" w:rsidP="00F565AA">
            <w:pPr>
              <w:jc w:val="both"/>
              <w:rPr>
                <w:rFonts w:ascii="Times New Roman" w:hAnsi="Times New Roman" w:cs="Times New Roman"/>
                <w:bCs/>
                <w:sz w:val="24"/>
                <w:szCs w:val="24"/>
                <w:lang w:eastAsia="tr-TR"/>
              </w:rPr>
            </w:pPr>
            <w:r>
              <w:rPr>
                <w:rFonts w:ascii="Times New Roman" w:hAnsi="Times New Roman" w:cs="Times New Roman"/>
                <w:bCs/>
                <w:sz w:val="24"/>
                <w:szCs w:val="24"/>
                <w:lang w:eastAsia="tr-TR"/>
              </w:rPr>
              <w:t xml:space="preserve">II-14.2 sayılı </w:t>
            </w:r>
            <w:r w:rsidR="00F565AA" w:rsidRPr="0051763D">
              <w:rPr>
                <w:rFonts w:ascii="Times New Roman" w:hAnsi="Times New Roman" w:cs="Times New Roman"/>
                <w:bCs/>
                <w:sz w:val="24"/>
                <w:szCs w:val="24"/>
                <w:lang w:eastAsia="tr-TR"/>
              </w:rPr>
              <w:t>Yatırım Fonlarının Finansal Raporlama Es</w:t>
            </w:r>
            <w:r w:rsidR="00F565AA" w:rsidRPr="000100CE">
              <w:rPr>
                <w:rFonts w:ascii="Times New Roman" w:hAnsi="Times New Roman" w:cs="Times New Roman"/>
                <w:bCs/>
                <w:sz w:val="24"/>
                <w:szCs w:val="24"/>
                <w:lang w:eastAsia="tr-TR"/>
              </w:rPr>
              <w:t>aslarına İlişkin Tebliğ’i,</w:t>
            </w:r>
          </w:p>
        </w:tc>
      </w:tr>
      <w:tr w:rsidR="00F565AA" w:rsidRPr="000100CE" w:rsidTr="00C86E12">
        <w:tc>
          <w:tcPr>
            <w:tcW w:w="2552" w:type="dxa"/>
          </w:tcPr>
          <w:p w:rsidR="00F565AA" w:rsidRPr="0051763D" w:rsidRDefault="00F565AA" w:rsidP="00F565AA">
            <w:pPr>
              <w:jc w:val="both"/>
              <w:rPr>
                <w:rFonts w:ascii="Times New Roman" w:hAnsi="Times New Roman" w:cs="Times New Roman"/>
                <w:b/>
                <w:bCs/>
                <w:sz w:val="24"/>
                <w:szCs w:val="24"/>
                <w:lang w:eastAsia="tr-TR"/>
              </w:rPr>
            </w:pPr>
            <w:r w:rsidRPr="00CB73AF">
              <w:rPr>
                <w:rFonts w:ascii="Times New Roman" w:hAnsi="Times New Roman" w:cs="Times New Roman"/>
                <w:b/>
                <w:bCs/>
                <w:sz w:val="24"/>
                <w:szCs w:val="24"/>
                <w:lang w:eastAsia="tr-TR"/>
              </w:rPr>
              <w:t>Fon:</w:t>
            </w:r>
          </w:p>
        </w:tc>
        <w:tc>
          <w:tcPr>
            <w:tcW w:w="6946" w:type="dxa"/>
          </w:tcPr>
          <w:p w:rsidR="00F565AA" w:rsidRPr="0051763D" w:rsidRDefault="00F565AA" w:rsidP="00F565AA">
            <w:pPr>
              <w:jc w:val="both"/>
              <w:rPr>
                <w:rFonts w:ascii="Times New Roman" w:hAnsi="Times New Roman" w:cs="Times New Roman"/>
                <w:bCs/>
                <w:sz w:val="24"/>
                <w:szCs w:val="24"/>
                <w:lang w:eastAsia="tr-TR"/>
              </w:rPr>
            </w:pPr>
            <w:r w:rsidRPr="00CB73AF">
              <w:rPr>
                <w:rFonts w:ascii="Times New Roman" w:hAnsi="Times New Roman" w:cs="Times New Roman"/>
                <w:bCs/>
                <w:sz w:val="24"/>
                <w:szCs w:val="24"/>
                <w:lang w:eastAsia="tr-TR"/>
              </w:rPr>
              <w:t>Katılma payları bir şemsiye fona bağlı olarak ihraç edilen yatırım fonunu,</w:t>
            </w:r>
          </w:p>
        </w:tc>
      </w:tr>
      <w:tr w:rsidR="00F565AA" w:rsidRPr="000100CE" w:rsidTr="00C86E12">
        <w:tc>
          <w:tcPr>
            <w:tcW w:w="2552" w:type="dxa"/>
          </w:tcPr>
          <w:p w:rsidR="00F565AA" w:rsidRPr="0051763D" w:rsidRDefault="00F565AA" w:rsidP="00F565AA">
            <w:pPr>
              <w:jc w:val="both"/>
              <w:rPr>
                <w:rFonts w:ascii="Times New Roman" w:hAnsi="Times New Roman" w:cs="Times New Roman"/>
                <w:b/>
                <w:bCs/>
                <w:sz w:val="24"/>
                <w:szCs w:val="24"/>
                <w:lang w:eastAsia="tr-TR"/>
              </w:rPr>
            </w:pPr>
            <w:r>
              <w:rPr>
                <w:rFonts w:ascii="Times New Roman" w:hAnsi="Times New Roman" w:cs="Times New Roman"/>
                <w:b/>
                <w:bCs/>
                <w:sz w:val="24"/>
                <w:szCs w:val="24"/>
                <w:lang w:eastAsia="tr-TR"/>
              </w:rPr>
              <w:t xml:space="preserve">Fon </w:t>
            </w:r>
            <w:r w:rsidRPr="0051763D">
              <w:rPr>
                <w:rFonts w:ascii="Times New Roman" w:hAnsi="Times New Roman" w:cs="Times New Roman"/>
                <w:b/>
                <w:bCs/>
                <w:sz w:val="24"/>
                <w:szCs w:val="24"/>
                <w:lang w:eastAsia="tr-TR"/>
              </w:rPr>
              <w:t>Tebliğ</w:t>
            </w:r>
            <w:r>
              <w:rPr>
                <w:rFonts w:ascii="Times New Roman" w:hAnsi="Times New Roman" w:cs="Times New Roman"/>
                <w:b/>
                <w:bCs/>
                <w:sz w:val="24"/>
                <w:szCs w:val="24"/>
                <w:lang w:eastAsia="tr-TR"/>
              </w:rPr>
              <w:t>i</w:t>
            </w:r>
            <w:r w:rsidRPr="0051763D">
              <w:rPr>
                <w:rFonts w:ascii="Times New Roman" w:hAnsi="Times New Roman" w:cs="Times New Roman"/>
                <w:b/>
                <w:bCs/>
                <w:sz w:val="24"/>
                <w:szCs w:val="24"/>
                <w:lang w:eastAsia="tr-TR"/>
              </w:rPr>
              <w:t>:</w:t>
            </w:r>
          </w:p>
        </w:tc>
        <w:tc>
          <w:tcPr>
            <w:tcW w:w="6946" w:type="dxa"/>
          </w:tcPr>
          <w:p w:rsidR="00F565AA" w:rsidRPr="009D534F" w:rsidRDefault="00F565AA" w:rsidP="00F565AA">
            <w:pPr>
              <w:jc w:val="both"/>
              <w:rPr>
                <w:rFonts w:ascii="Times New Roman" w:hAnsi="Times New Roman" w:cs="Times New Roman"/>
                <w:bCs/>
                <w:sz w:val="24"/>
                <w:szCs w:val="24"/>
                <w:lang w:eastAsia="tr-TR"/>
              </w:rPr>
            </w:pPr>
            <w:r w:rsidRPr="0051763D">
              <w:rPr>
                <w:rFonts w:ascii="Times New Roman" w:hAnsi="Times New Roman" w:cs="Times New Roman"/>
                <w:bCs/>
                <w:sz w:val="24"/>
                <w:szCs w:val="24"/>
                <w:lang w:eastAsia="tr-TR"/>
              </w:rPr>
              <w:t>III-52.1 sayılı Yatırım Fonlar</w:t>
            </w:r>
            <w:r w:rsidRPr="000100CE">
              <w:rPr>
                <w:rFonts w:ascii="Times New Roman" w:hAnsi="Times New Roman" w:cs="Times New Roman"/>
                <w:bCs/>
                <w:sz w:val="24"/>
                <w:szCs w:val="24"/>
                <w:lang w:eastAsia="tr-TR"/>
              </w:rPr>
              <w:t>ına İlişkin Esaslar Tebliği’ni,</w:t>
            </w:r>
          </w:p>
        </w:tc>
      </w:tr>
      <w:tr w:rsidR="00F565AA" w:rsidRPr="000100CE" w:rsidTr="00C86E12">
        <w:tc>
          <w:tcPr>
            <w:tcW w:w="2552" w:type="dxa"/>
          </w:tcPr>
          <w:p w:rsidR="00F565AA" w:rsidRDefault="00F565AA" w:rsidP="00F565AA">
            <w:pPr>
              <w:jc w:val="both"/>
              <w:rPr>
                <w:rFonts w:ascii="Times New Roman" w:hAnsi="Times New Roman" w:cs="Times New Roman"/>
                <w:b/>
                <w:bCs/>
                <w:sz w:val="24"/>
                <w:szCs w:val="24"/>
                <w:lang w:eastAsia="tr-TR"/>
              </w:rPr>
            </w:pPr>
            <w:r w:rsidRPr="00CB73AF">
              <w:rPr>
                <w:rFonts w:ascii="Times New Roman" w:hAnsi="Times New Roman" w:cs="Times New Roman"/>
                <w:b/>
                <w:bCs/>
                <w:sz w:val="24"/>
                <w:szCs w:val="24"/>
                <w:lang w:eastAsia="tr-TR"/>
              </w:rPr>
              <w:t>Hazine:</w:t>
            </w:r>
          </w:p>
        </w:tc>
        <w:tc>
          <w:tcPr>
            <w:tcW w:w="6946" w:type="dxa"/>
          </w:tcPr>
          <w:p w:rsidR="00F565AA" w:rsidRPr="0051763D" w:rsidRDefault="00F565AA" w:rsidP="00F565AA">
            <w:pPr>
              <w:jc w:val="both"/>
              <w:rPr>
                <w:rFonts w:ascii="Times New Roman" w:hAnsi="Times New Roman" w:cs="Times New Roman"/>
                <w:bCs/>
                <w:sz w:val="24"/>
                <w:szCs w:val="24"/>
                <w:lang w:eastAsia="tr-TR"/>
              </w:rPr>
            </w:pPr>
            <w:r w:rsidRPr="00CB73AF">
              <w:rPr>
                <w:rFonts w:ascii="Times New Roman" w:hAnsi="Times New Roman" w:cs="Times New Roman"/>
                <w:bCs/>
                <w:sz w:val="24"/>
                <w:szCs w:val="24"/>
                <w:lang w:eastAsia="tr-TR"/>
              </w:rPr>
              <w:t>T.C. Başbakanlık Hazine Müsteşarlığı’nı</w:t>
            </w:r>
            <w:r>
              <w:rPr>
                <w:rFonts w:ascii="Times New Roman" w:hAnsi="Times New Roman" w:cs="Times New Roman"/>
                <w:bCs/>
                <w:sz w:val="24"/>
                <w:szCs w:val="24"/>
                <w:lang w:eastAsia="tr-TR"/>
              </w:rPr>
              <w:t>,</w:t>
            </w:r>
          </w:p>
        </w:tc>
      </w:tr>
      <w:tr w:rsidR="00F565AA" w:rsidRPr="000100CE" w:rsidTr="00C86E12">
        <w:tc>
          <w:tcPr>
            <w:tcW w:w="2552" w:type="dxa"/>
          </w:tcPr>
          <w:p w:rsidR="00F565AA" w:rsidRPr="000100CE" w:rsidRDefault="00F565AA" w:rsidP="00F565AA">
            <w:pPr>
              <w:jc w:val="both"/>
              <w:rPr>
                <w:rFonts w:ascii="Times New Roman" w:hAnsi="Times New Roman" w:cs="Times New Roman"/>
                <w:b/>
                <w:bCs/>
                <w:sz w:val="24"/>
                <w:szCs w:val="24"/>
                <w:lang w:eastAsia="tr-TR"/>
              </w:rPr>
            </w:pPr>
            <w:r w:rsidRPr="000100CE">
              <w:rPr>
                <w:rFonts w:ascii="Times New Roman" w:hAnsi="Times New Roman" w:cs="Times New Roman"/>
                <w:b/>
                <w:bCs/>
                <w:sz w:val="24"/>
                <w:szCs w:val="24"/>
                <w:lang w:eastAsia="tr-TR"/>
              </w:rPr>
              <w:t>Kanun:</w:t>
            </w:r>
          </w:p>
        </w:tc>
        <w:tc>
          <w:tcPr>
            <w:tcW w:w="6946" w:type="dxa"/>
          </w:tcPr>
          <w:p w:rsidR="00F565AA" w:rsidRPr="009D534F" w:rsidRDefault="00F565AA" w:rsidP="00F565AA">
            <w:pPr>
              <w:jc w:val="both"/>
              <w:rPr>
                <w:rFonts w:ascii="Times New Roman" w:hAnsi="Times New Roman" w:cs="Times New Roman"/>
                <w:bCs/>
                <w:sz w:val="24"/>
                <w:szCs w:val="24"/>
                <w:lang w:eastAsia="tr-TR"/>
              </w:rPr>
            </w:pPr>
            <w:r w:rsidRPr="000100CE">
              <w:rPr>
                <w:rFonts w:ascii="Times New Roman" w:hAnsi="Times New Roman" w:cs="Times New Roman"/>
                <w:bCs/>
                <w:sz w:val="24"/>
                <w:szCs w:val="24"/>
                <w:lang w:eastAsia="tr-TR"/>
              </w:rPr>
              <w:t>6362 sayılı Sermaye Piyasası Kanunu’nu,</w:t>
            </w:r>
          </w:p>
        </w:tc>
      </w:tr>
      <w:tr w:rsidR="00F565AA" w:rsidRPr="000100CE" w:rsidTr="00C86E12">
        <w:tc>
          <w:tcPr>
            <w:tcW w:w="2552" w:type="dxa"/>
          </w:tcPr>
          <w:p w:rsidR="00F565AA" w:rsidRPr="0051763D" w:rsidRDefault="00F565AA" w:rsidP="00F565AA">
            <w:pPr>
              <w:jc w:val="both"/>
              <w:rPr>
                <w:rFonts w:ascii="Times New Roman" w:hAnsi="Times New Roman" w:cs="Times New Roman"/>
                <w:b/>
                <w:bCs/>
                <w:sz w:val="24"/>
                <w:szCs w:val="24"/>
                <w:lang w:eastAsia="tr-TR"/>
              </w:rPr>
            </w:pPr>
            <w:r>
              <w:rPr>
                <w:rFonts w:ascii="Times New Roman" w:hAnsi="Times New Roman" w:cs="Times New Roman"/>
                <w:b/>
                <w:bCs/>
                <w:sz w:val="24"/>
                <w:szCs w:val="24"/>
                <w:lang w:eastAsia="tr-TR"/>
              </w:rPr>
              <w:t>KAP:</w:t>
            </w:r>
          </w:p>
        </w:tc>
        <w:tc>
          <w:tcPr>
            <w:tcW w:w="6946" w:type="dxa"/>
          </w:tcPr>
          <w:p w:rsidR="00F565AA" w:rsidRPr="0051763D" w:rsidRDefault="00F565AA" w:rsidP="00F565AA">
            <w:pPr>
              <w:jc w:val="both"/>
              <w:rPr>
                <w:rFonts w:ascii="Times New Roman" w:hAnsi="Times New Roman" w:cs="Times New Roman"/>
                <w:bCs/>
                <w:sz w:val="24"/>
                <w:szCs w:val="24"/>
                <w:lang w:eastAsia="tr-TR"/>
              </w:rPr>
            </w:pPr>
            <w:r>
              <w:rPr>
                <w:rFonts w:ascii="Times New Roman" w:hAnsi="Times New Roman" w:cs="Times New Roman"/>
                <w:bCs/>
                <w:sz w:val="24"/>
                <w:szCs w:val="24"/>
                <w:lang w:eastAsia="tr-TR"/>
              </w:rPr>
              <w:t>Kamuyu Aydınlatma Platformu’nu,</w:t>
            </w:r>
          </w:p>
        </w:tc>
      </w:tr>
      <w:tr w:rsidR="00F565AA" w:rsidRPr="000100CE" w:rsidTr="00C86E12">
        <w:tc>
          <w:tcPr>
            <w:tcW w:w="2552" w:type="dxa"/>
          </w:tcPr>
          <w:p w:rsidR="00F565AA" w:rsidRDefault="00F565AA" w:rsidP="00F565AA">
            <w:pPr>
              <w:jc w:val="both"/>
              <w:rPr>
                <w:rFonts w:ascii="Times New Roman" w:hAnsi="Times New Roman" w:cs="Times New Roman"/>
                <w:b/>
                <w:bCs/>
                <w:sz w:val="24"/>
                <w:szCs w:val="24"/>
                <w:lang w:eastAsia="tr-TR"/>
              </w:rPr>
            </w:pPr>
            <w:r>
              <w:rPr>
                <w:rFonts w:ascii="Times New Roman" w:hAnsi="Times New Roman" w:cs="Times New Roman"/>
                <w:b/>
                <w:bCs/>
                <w:sz w:val="24"/>
                <w:szCs w:val="24"/>
                <w:lang w:eastAsia="tr-TR"/>
              </w:rPr>
              <w:t>KGK:</w:t>
            </w:r>
          </w:p>
        </w:tc>
        <w:tc>
          <w:tcPr>
            <w:tcW w:w="6946" w:type="dxa"/>
          </w:tcPr>
          <w:p w:rsidR="00F565AA" w:rsidRDefault="00F565AA" w:rsidP="00F565AA">
            <w:pPr>
              <w:jc w:val="both"/>
              <w:rPr>
                <w:rFonts w:ascii="Times New Roman" w:hAnsi="Times New Roman" w:cs="Times New Roman"/>
                <w:bCs/>
                <w:sz w:val="24"/>
                <w:szCs w:val="24"/>
                <w:lang w:eastAsia="tr-TR"/>
              </w:rPr>
            </w:pPr>
            <w:r w:rsidRPr="00B030A3">
              <w:rPr>
                <w:rFonts w:ascii="Times New Roman" w:hAnsi="Times New Roman" w:cs="Times New Roman"/>
                <w:bCs/>
                <w:sz w:val="24"/>
                <w:szCs w:val="24"/>
                <w:lang w:eastAsia="tr-TR"/>
              </w:rPr>
              <w:t>Kamu Gözetimi, Muhasebe ve Denetim Standartları Kurumu</w:t>
            </w:r>
            <w:r>
              <w:rPr>
                <w:rFonts w:ascii="Times New Roman" w:hAnsi="Times New Roman" w:cs="Times New Roman"/>
                <w:bCs/>
                <w:sz w:val="24"/>
                <w:szCs w:val="24"/>
                <w:lang w:eastAsia="tr-TR"/>
              </w:rPr>
              <w:t>’</w:t>
            </w:r>
            <w:r w:rsidRPr="00B030A3">
              <w:rPr>
                <w:rFonts w:ascii="Times New Roman" w:hAnsi="Times New Roman" w:cs="Times New Roman"/>
                <w:bCs/>
                <w:sz w:val="24"/>
                <w:szCs w:val="24"/>
                <w:lang w:eastAsia="tr-TR"/>
              </w:rPr>
              <w:t>nu,</w:t>
            </w:r>
          </w:p>
        </w:tc>
      </w:tr>
      <w:tr w:rsidR="00F565AA" w:rsidRPr="000100CE" w:rsidTr="00C86E12">
        <w:tc>
          <w:tcPr>
            <w:tcW w:w="2552" w:type="dxa"/>
          </w:tcPr>
          <w:p w:rsidR="00F565AA" w:rsidRPr="000100CE" w:rsidRDefault="00F565AA" w:rsidP="00F565AA">
            <w:pPr>
              <w:jc w:val="both"/>
              <w:rPr>
                <w:rFonts w:ascii="Times New Roman" w:hAnsi="Times New Roman" w:cs="Times New Roman"/>
                <w:b/>
                <w:bCs/>
                <w:sz w:val="24"/>
                <w:szCs w:val="24"/>
                <w:lang w:eastAsia="tr-TR"/>
              </w:rPr>
            </w:pPr>
            <w:r w:rsidRPr="000100CE">
              <w:rPr>
                <w:rFonts w:ascii="Times New Roman" w:hAnsi="Times New Roman" w:cs="Times New Roman"/>
                <w:b/>
                <w:bCs/>
                <w:sz w:val="24"/>
                <w:szCs w:val="24"/>
                <w:lang w:eastAsia="tr-TR"/>
              </w:rPr>
              <w:t>Kurucu:</w:t>
            </w:r>
          </w:p>
        </w:tc>
        <w:tc>
          <w:tcPr>
            <w:tcW w:w="6946" w:type="dxa"/>
          </w:tcPr>
          <w:p w:rsidR="00F565AA" w:rsidRPr="009D534F" w:rsidRDefault="00F565AA" w:rsidP="00F565AA">
            <w:pPr>
              <w:jc w:val="both"/>
              <w:rPr>
                <w:rFonts w:ascii="Times New Roman" w:hAnsi="Times New Roman" w:cs="Times New Roman"/>
                <w:bCs/>
                <w:sz w:val="24"/>
                <w:szCs w:val="24"/>
                <w:lang w:eastAsia="tr-TR"/>
              </w:rPr>
            </w:pPr>
            <w:r w:rsidRPr="000100CE">
              <w:rPr>
                <w:rFonts w:ascii="Times New Roman" w:hAnsi="Times New Roman" w:cs="Times New Roman"/>
                <w:bCs/>
                <w:sz w:val="24"/>
                <w:szCs w:val="24"/>
                <w:lang w:eastAsia="tr-TR"/>
              </w:rPr>
              <w:t>Kanunun 55’inci maddesi kapsamında ana faaliyet konusu yatırım fonlarının kurulması ve yönetimi olan anonim ortaklık şeklinde kurulan portföy yönetim şirketini,</w:t>
            </w:r>
          </w:p>
        </w:tc>
      </w:tr>
      <w:tr w:rsidR="00F565AA" w:rsidRPr="000100CE" w:rsidTr="00C86E12">
        <w:tc>
          <w:tcPr>
            <w:tcW w:w="2552" w:type="dxa"/>
          </w:tcPr>
          <w:p w:rsidR="00F565AA" w:rsidRPr="0051763D" w:rsidRDefault="00F565AA" w:rsidP="00F565AA">
            <w:pPr>
              <w:jc w:val="both"/>
              <w:rPr>
                <w:rFonts w:ascii="Times New Roman" w:hAnsi="Times New Roman" w:cs="Times New Roman"/>
                <w:b/>
                <w:bCs/>
                <w:sz w:val="24"/>
                <w:szCs w:val="24"/>
                <w:lang w:eastAsia="tr-TR"/>
              </w:rPr>
            </w:pPr>
            <w:r w:rsidRPr="0051763D">
              <w:rPr>
                <w:rFonts w:ascii="Times New Roman" w:hAnsi="Times New Roman" w:cs="Times New Roman"/>
                <w:b/>
                <w:bCs/>
                <w:sz w:val="24"/>
                <w:szCs w:val="24"/>
                <w:lang w:eastAsia="tr-TR"/>
              </w:rPr>
              <w:t>M</w:t>
            </w:r>
            <w:r>
              <w:rPr>
                <w:rFonts w:ascii="Times New Roman" w:hAnsi="Times New Roman" w:cs="Times New Roman"/>
                <w:b/>
                <w:bCs/>
                <w:sz w:val="24"/>
                <w:szCs w:val="24"/>
                <w:lang w:eastAsia="tr-TR"/>
              </w:rPr>
              <w:t>KK</w:t>
            </w:r>
            <w:r w:rsidRPr="0051763D">
              <w:rPr>
                <w:rFonts w:ascii="Times New Roman" w:hAnsi="Times New Roman" w:cs="Times New Roman"/>
                <w:b/>
                <w:bCs/>
                <w:sz w:val="24"/>
                <w:szCs w:val="24"/>
                <w:lang w:eastAsia="tr-TR"/>
              </w:rPr>
              <w:t>:</w:t>
            </w:r>
          </w:p>
        </w:tc>
        <w:tc>
          <w:tcPr>
            <w:tcW w:w="6946" w:type="dxa"/>
          </w:tcPr>
          <w:p w:rsidR="00F565AA" w:rsidRPr="000100CE" w:rsidRDefault="00F565AA" w:rsidP="00F565AA">
            <w:pPr>
              <w:jc w:val="both"/>
              <w:rPr>
                <w:rFonts w:ascii="Times New Roman" w:hAnsi="Times New Roman" w:cs="Times New Roman"/>
                <w:bCs/>
                <w:sz w:val="24"/>
                <w:szCs w:val="24"/>
                <w:lang w:eastAsia="tr-TR"/>
              </w:rPr>
            </w:pPr>
            <w:r>
              <w:rPr>
                <w:rFonts w:ascii="Times New Roman" w:hAnsi="Times New Roman" w:cs="Times New Roman"/>
                <w:bCs/>
                <w:sz w:val="24"/>
                <w:szCs w:val="24"/>
                <w:lang w:eastAsia="tr-TR"/>
              </w:rPr>
              <w:t>Merkezi Kayıt Kuruluşu A.Ş.’yi,</w:t>
            </w:r>
          </w:p>
        </w:tc>
      </w:tr>
      <w:tr w:rsidR="00F565AA" w:rsidRPr="000100CE" w:rsidTr="00C86E12">
        <w:tc>
          <w:tcPr>
            <w:tcW w:w="2552" w:type="dxa"/>
          </w:tcPr>
          <w:p w:rsidR="00F565AA" w:rsidRPr="0051763D" w:rsidRDefault="00F565AA" w:rsidP="00F565AA">
            <w:pPr>
              <w:jc w:val="both"/>
              <w:rPr>
                <w:rFonts w:ascii="Times New Roman" w:hAnsi="Times New Roman" w:cs="Times New Roman"/>
                <w:b/>
                <w:bCs/>
                <w:sz w:val="24"/>
                <w:szCs w:val="24"/>
                <w:lang w:eastAsia="tr-TR"/>
              </w:rPr>
            </w:pPr>
            <w:r>
              <w:rPr>
                <w:rFonts w:ascii="Times New Roman" w:hAnsi="Times New Roman" w:cs="Times New Roman"/>
                <w:b/>
                <w:bCs/>
                <w:sz w:val="24"/>
                <w:szCs w:val="24"/>
                <w:lang w:eastAsia="tr-TR"/>
              </w:rPr>
              <w:t>ÖPSP:</w:t>
            </w:r>
          </w:p>
        </w:tc>
        <w:tc>
          <w:tcPr>
            <w:tcW w:w="6946" w:type="dxa"/>
          </w:tcPr>
          <w:p w:rsidR="00F565AA" w:rsidRPr="0051763D" w:rsidRDefault="00F565AA" w:rsidP="00F565AA">
            <w:pPr>
              <w:jc w:val="both"/>
              <w:rPr>
                <w:rFonts w:ascii="Times New Roman" w:hAnsi="Times New Roman" w:cs="Times New Roman"/>
                <w:bCs/>
                <w:sz w:val="24"/>
                <w:szCs w:val="24"/>
                <w:lang w:eastAsia="tr-TR"/>
              </w:rPr>
            </w:pPr>
            <w:r>
              <w:rPr>
                <w:rFonts w:ascii="Times New Roman" w:hAnsi="Times New Roman" w:cs="Times New Roman"/>
                <w:bCs/>
                <w:sz w:val="24"/>
                <w:szCs w:val="24"/>
                <w:lang w:eastAsia="tr-TR"/>
              </w:rPr>
              <w:t>Ödünç Pay Senedi Piyasası’nı,</w:t>
            </w:r>
          </w:p>
        </w:tc>
      </w:tr>
      <w:tr w:rsidR="00F565AA" w:rsidRPr="000100CE" w:rsidTr="00C86E12">
        <w:tc>
          <w:tcPr>
            <w:tcW w:w="2552" w:type="dxa"/>
          </w:tcPr>
          <w:p w:rsidR="00F565AA" w:rsidRPr="0051763D" w:rsidRDefault="00F565AA" w:rsidP="00F565AA">
            <w:pPr>
              <w:jc w:val="both"/>
              <w:rPr>
                <w:rFonts w:ascii="Times New Roman" w:hAnsi="Times New Roman" w:cs="Times New Roman"/>
                <w:b/>
                <w:bCs/>
                <w:sz w:val="24"/>
                <w:szCs w:val="24"/>
                <w:lang w:eastAsia="tr-TR"/>
              </w:rPr>
            </w:pPr>
            <w:r w:rsidRPr="0051763D">
              <w:rPr>
                <w:rFonts w:ascii="Times New Roman" w:hAnsi="Times New Roman" w:cs="Times New Roman"/>
                <w:b/>
                <w:bCs/>
                <w:sz w:val="24"/>
                <w:szCs w:val="24"/>
                <w:lang w:eastAsia="tr-TR"/>
              </w:rPr>
              <w:t>PYŞ Tebliği:</w:t>
            </w:r>
          </w:p>
        </w:tc>
        <w:tc>
          <w:tcPr>
            <w:tcW w:w="6946" w:type="dxa"/>
          </w:tcPr>
          <w:p w:rsidR="00F565AA" w:rsidRPr="000100CE" w:rsidRDefault="00771728" w:rsidP="00F565AA">
            <w:pPr>
              <w:jc w:val="both"/>
              <w:rPr>
                <w:rFonts w:ascii="Times New Roman" w:hAnsi="Times New Roman" w:cs="Times New Roman"/>
                <w:bCs/>
                <w:sz w:val="24"/>
                <w:szCs w:val="24"/>
                <w:lang w:eastAsia="tr-TR"/>
              </w:rPr>
            </w:pPr>
            <w:r>
              <w:rPr>
                <w:rFonts w:ascii="Times New Roman" w:hAnsi="Times New Roman" w:cs="Times New Roman"/>
                <w:bCs/>
                <w:sz w:val="24"/>
                <w:szCs w:val="24"/>
                <w:lang w:eastAsia="tr-TR"/>
              </w:rPr>
              <w:t xml:space="preserve">III-55.1 sayılı </w:t>
            </w:r>
            <w:r w:rsidR="00F565AA" w:rsidRPr="0051763D">
              <w:rPr>
                <w:rFonts w:ascii="Times New Roman" w:hAnsi="Times New Roman" w:cs="Times New Roman"/>
                <w:bCs/>
                <w:sz w:val="24"/>
                <w:szCs w:val="24"/>
                <w:lang w:eastAsia="tr-TR"/>
              </w:rPr>
              <w:t>Portföy Yönetim Şirketleri ve Bu Şirketlerin Faaliyetlerine İlişkin Esaslar Tebliği</w:t>
            </w:r>
            <w:r w:rsidR="00F565AA" w:rsidRPr="000100CE">
              <w:rPr>
                <w:rFonts w:ascii="Times New Roman" w:hAnsi="Times New Roman" w:cs="Times New Roman"/>
                <w:bCs/>
                <w:sz w:val="24"/>
                <w:szCs w:val="24"/>
                <w:lang w:eastAsia="tr-TR"/>
              </w:rPr>
              <w:t>’ni</w:t>
            </w:r>
            <w:r w:rsidR="00F565AA">
              <w:rPr>
                <w:rFonts w:ascii="Times New Roman" w:hAnsi="Times New Roman" w:cs="Times New Roman"/>
                <w:bCs/>
                <w:sz w:val="24"/>
                <w:szCs w:val="24"/>
                <w:lang w:eastAsia="tr-TR"/>
              </w:rPr>
              <w:t>,</w:t>
            </w:r>
          </w:p>
        </w:tc>
      </w:tr>
      <w:tr w:rsidR="00F565AA" w:rsidRPr="000100CE" w:rsidTr="00C86E12">
        <w:tc>
          <w:tcPr>
            <w:tcW w:w="2552" w:type="dxa"/>
          </w:tcPr>
          <w:p w:rsidR="00F565AA" w:rsidRPr="0051763D" w:rsidRDefault="00F565AA" w:rsidP="00651199">
            <w:pPr>
              <w:jc w:val="both"/>
              <w:rPr>
                <w:rFonts w:ascii="Times New Roman" w:hAnsi="Times New Roman" w:cs="Times New Roman"/>
                <w:b/>
                <w:bCs/>
                <w:sz w:val="24"/>
                <w:szCs w:val="24"/>
                <w:lang w:eastAsia="tr-TR"/>
              </w:rPr>
            </w:pPr>
            <w:r>
              <w:rPr>
                <w:rFonts w:ascii="Times New Roman" w:hAnsi="Times New Roman" w:cs="Times New Roman"/>
                <w:b/>
                <w:bCs/>
                <w:sz w:val="24"/>
                <w:szCs w:val="24"/>
                <w:lang w:eastAsia="tr-TR"/>
              </w:rPr>
              <w:t xml:space="preserve">Saklı (Gömülü) Türev </w:t>
            </w:r>
            <w:r w:rsidR="00651199">
              <w:rPr>
                <w:rFonts w:ascii="Times New Roman" w:hAnsi="Times New Roman" w:cs="Times New Roman"/>
                <w:b/>
                <w:bCs/>
                <w:sz w:val="24"/>
                <w:szCs w:val="24"/>
                <w:lang w:eastAsia="tr-TR"/>
              </w:rPr>
              <w:t>Araç</w:t>
            </w:r>
            <w:r>
              <w:rPr>
                <w:rFonts w:ascii="Times New Roman" w:hAnsi="Times New Roman" w:cs="Times New Roman"/>
                <w:b/>
                <w:bCs/>
                <w:sz w:val="24"/>
                <w:szCs w:val="24"/>
                <w:lang w:eastAsia="tr-TR"/>
              </w:rPr>
              <w:t>:</w:t>
            </w:r>
          </w:p>
        </w:tc>
        <w:tc>
          <w:tcPr>
            <w:tcW w:w="6946" w:type="dxa"/>
          </w:tcPr>
          <w:p w:rsidR="00F565AA" w:rsidRPr="0051763D" w:rsidRDefault="00F565AA" w:rsidP="00F565AA">
            <w:pPr>
              <w:jc w:val="both"/>
              <w:rPr>
                <w:rFonts w:ascii="Times New Roman" w:hAnsi="Times New Roman" w:cs="Times New Roman"/>
                <w:bCs/>
                <w:sz w:val="24"/>
                <w:szCs w:val="24"/>
                <w:lang w:eastAsia="tr-TR"/>
              </w:rPr>
            </w:pPr>
            <w:r>
              <w:rPr>
                <w:rFonts w:ascii="Times New Roman" w:hAnsi="Times New Roman" w:cs="Times New Roman"/>
                <w:bCs/>
                <w:sz w:val="24"/>
                <w:szCs w:val="24"/>
                <w:lang w:eastAsia="tr-TR"/>
              </w:rPr>
              <w:t>Türkiye Muhasebe Standartları 39 no’lu “Finansal Araçlar: Muhasebeleştirme ve Ölçme” standardı uyarınca t</w:t>
            </w:r>
            <w:r w:rsidRPr="00846868">
              <w:rPr>
                <w:rFonts w:ascii="Times New Roman" w:hAnsi="Times New Roman" w:cs="Times New Roman"/>
                <w:bCs/>
                <w:sz w:val="24"/>
                <w:szCs w:val="24"/>
                <w:lang w:eastAsia="tr-TR"/>
              </w:rPr>
              <w:t>ürev olmayan bir asal sözleşme de içeren karm</w:t>
            </w:r>
            <w:r>
              <w:rPr>
                <w:rFonts w:ascii="Times New Roman" w:hAnsi="Times New Roman" w:cs="Times New Roman"/>
                <w:bCs/>
                <w:sz w:val="24"/>
                <w:szCs w:val="24"/>
                <w:lang w:eastAsia="tr-TR"/>
              </w:rPr>
              <w:t>a (melez) aracın bir bileşenini,</w:t>
            </w:r>
          </w:p>
        </w:tc>
      </w:tr>
      <w:tr w:rsidR="00F565AA" w:rsidRPr="000100CE" w:rsidTr="00C86E12">
        <w:tc>
          <w:tcPr>
            <w:tcW w:w="2552" w:type="dxa"/>
          </w:tcPr>
          <w:p w:rsidR="00F565AA" w:rsidRPr="0051763D" w:rsidRDefault="00F565AA" w:rsidP="00F565AA">
            <w:pPr>
              <w:jc w:val="both"/>
              <w:rPr>
                <w:rFonts w:ascii="Times New Roman" w:hAnsi="Times New Roman" w:cs="Times New Roman"/>
                <w:b/>
                <w:bCs/>
                <w:sz w:val="24"/>
                <w:szCs w:val="24"/>
                <w:lang w:eastAsia="tr-TR"/>
              </w:rPr>
            </w:pPr>
            <w:r>
              <w:rPr>
                <w:rFonts w:ascii="Times New Roman" w:hAnsi="Times New Roman" w:cs="Times New Roman"/>
                <w:b/>
                <w:bCs/>
                <w:sz w:val="24"/>
                <w:szCs w:val="24"/>
                <w:lang w:eastAsia="tr-TR"/>
              </w:rPr>
              <w:t>Takasbank:</w:t>
            </w:r>
          </w:p>
        </w:tc>
        <w:tc>
          <w:tcPr>
            <w:tcW w:w="6946" w:type="dxa"/>
          </w:tcPr>
          <w:p w:rsidR="00F565AA" w:rsidRPr="0051763D" w:rsidRDefault="00F565AA" w:rsidP="00F565AA">
            <w:pPr>
              <w:jc w:val="both"/>
              <w:rPr>
                <w:rFonts w:ascii="Times New Roman" w:hAnsi="Times New Roman" w:cs="Times New Roman"/>
                <w:bCs/>
                <w:sz w:val="24"/>
                <w:szCs w:val="24"/>
                <w:lang w:eastAsia="tr-TR"/>
              </w:rPr>
            </w:pPr>
            <w:r w:rsidRPr="00CB73AF">
              <w:rPr>
                <w:rFonts w:ascii="Times New Roman" w:hAnsi="Times New Roman" w:cs="Times New Roman"/>
                <w:sz w:val="24"/>
                <w:szCs w:val="24"/>
                <w:lang w:eastAsia="tr-TR"/>
              </w:rPr>
              <w:t>İstanbul Takas ve Saklama Bankası A.Ş.</w:t>
            </w:r>
            <w:r>
              <w:rPr>
                <w:rFonts w:ascii="Times New Roman" w:hAnsi="Times New Roman" w:cs="Times New Roman"/>
                <w:sz w:val="24"/>
                <w:szCs w:val="24"/>
                <w:lang w:eastAsia="tr-TR"/>
              </w:rPr>
              <w:t xml:space="preserve">’yi, </w:t>
            </w:r>
          </w:p>
        </w:tc>
      </w:tr>
      <w:tr w:rsidR="00F565AA" w:rsidRPr="000100CE" w:rsidTr="00C86E12">
        <w:tc>
          <w:tcPr>
            <w:tcW w:w="2552" w:type="dxa"/>
          </w:tcPr>
          <w:p w:rsidR="00F565AA" w:rsidRDefault="00C86E12" w:rsidP="00F565AA">
            <w:pPr>
              <w:jc w:val="both"/>
              <w:rPr>
                <w:rFonts w:ascii="Times New Roman" w:hAnsi="Times New Roman" w:cs="Times New Roman"/>
                <w:b/>
                <w:bCs/>
                <w:sz w:val="24"/>
                <w:szCs w:val="24"/>
                <w:lang w:eastAsia="tr-TR"/>
              </w:rPr>
            </w:pPr>
            <w:r>
              <w:rPr>
                <w:rFonts w:ascii="Times New Roman" w:hAnsi="Times New Roman" w:cs="Times New Roman"/>
                <w:b/>
                <w:bCs/>
                <w:sz w:val="24"/>
                <w:szCs w:val="24"/>
                <w:lang w:eastAsia="tr-TR"/>
              </w:rPr>
              <w:t>TCMB</w:t>
            </w:r>
            <w:r w:rsidR="00F565AA">
              <w:rPr>
                <w:rFonts w:ascii="Times New Roman" w:hAnsi="Times New Roman" w:cs="Times New Roman"/>
                <w:b/>
                <w:bCs/>
                <w:sz w:val="24"/>
                <w:szCs w:val="24"/>
                <w:lang w:eastAsia="tr-TR"/>
              </w:rPr>
              <w:t>:</w:t>
            </w:r>
          </w:p>
        </w:tc>
        <w:tc>
          <w:tcPr>
            <w:tcW w:w="6946" w:type="dxa"/>
          </w:tcPr>
          <w:p w:rsidR="00F565AA" w:rsidRPr="00CB73AF" w:rsidRDefault="00F565AA" w:rsidP="00F565AA">
            <w:pPr>
              <w:jc w:val="both"/>
              <w:rPr>
                <w:rFonts w:ascii="Times New Roman" w:hAnsi="Times New Roman" w:cs="Times New Roman"/>
                <w:sz w:val="24"/>
                <w:szCs w:val="24"/>
                <w:lang w:eastAsia="tr-TR"/>
              </w:rPr>
            </w:pPr>
            <w:r>
              <w:rPr>
                <w:rFonts w:ascii="Times New Roman" w:hAnsi="Times New Roman" w:cs="Times New Roman"/>
                <w:sz w:val="24"/>
                <w:szCs w:val="24"/>
                <w:lang w:eastAsia="tr-TR"/>
              </w:rPr>
              <w:t>Türkiye Cumhuriyet Merkez Bankası’nı,</w:t>
            </w:r>
          </w:p>
        </w:tc>
      </w:tr>
      <w:tr w:rsidR="00F565AA" w:rsidRPr="000100CE" w:rsidTr="00C86E12">
        <w:tc>
          <w:tcPr>
            <w:tcW w:w="2552" w:type="dxa"/>
          </w:tcPr>
          <w:p w:rsidR="00F565AA" w:rsidRDefault="00F565AA" w:rsidP="00F565AA">
            <w:pPr>
              <w:jc w:val="both"/>
              <w:rPr>
                <w:rFonts w:ascii="Times New Roman" w:hAnsi="Times New Roman" w:cs="Times New Roman"/>
                <w:b/>
                <w:bCs/>
                <w:sz w:val="24"/>
                <w:szCs w:val="24"/>
                <w:lang w:eastAsia="tr-TR"/>
              </w:rPr>
            </w:pPr>
            <w:r>
              <w:rPr>
                <w:rFonts w:ascii="Times New Roman" w:hAnsi="Times New Roman" w:cs="Times New Roman"/>
                <w:b/>
                <w:bCs/>
                <w:sz w:val="24"/>
                <w:szCs w:val="24"/>
                <w:lang w:eastAsia="tr-TR"/>
              </w:rPr>
              <w:t>TMS/TFRS:</w:t>
            </w:r>
          </w:p>
        </w:tc>
        <w:tc>
          <w:tcPr>
            <w:tcW w:w="6946" w:type="dxa"/>
          </w:tcPr>
          <w:p w:rsidR="00F565AA" w:rsidRDefault="00F565AA" w:rsidP="00F565AA">
            <w:pPr>
              <w:jc w:val="both"/>
              <w:rPr>
                <w:rFonts w:ascii="Times New Roman" w:hAnsi="Times New Roman" w:cs="Times New Roman"/>
                <w:sz w:val="24"/>
                <w:szCs w:val="24"/>
                <w:lang w:eastAsia="tr-TR"/>
              </w:rPr>
            </w:pPr>
            <w:r w:rsidRPr="00B030A3">
              <w:rPr>
                <w:rFonts w:ascii="Times New Roman" w:hAnsi="Times New Roman" w:cs="Times New Roman"/>
                <w:bCs/>
                <w:sz w:val="24"/>
                <w:szCs w:val="24"/>
                <w:lang w:eastAsia="tr-TR"/>
              </w:rPr>
              <w:t>KGK tarafından yürürlüğe konulmuş olan Türkiye Muhasebe Standartları/Türkiye Finansal Raporlama Standartları ile bunlara ilişkin ek ve yorumları,</w:t>
            </w:r>
          </w:p>
        </w:tc>
      </w:tr>
      <w:tr w:rsidR="00F565AA" w:rsidRPr="000100CE" w:rsidTr="00C86E12">
        <w:tc>
          <w:tcPr>
            <w:tcW w:w="2552" w:type="dxa"/>
          </w:tcPr>
          <w:p w:rsidR="00F565AA" w:rsidRDefault="00F565AA" w:rsidP="00F565AA">
            <w:pPr>
              <w:jc w:val="both"/>
              <w:rPr>
                <w:rFonts w:ascii="Times New Roman" w:hAnsi="Times New Roman" w:cs="Times New Roman"/>
                <w:b/>
                <w:bCs/>
                <w:sz w:val="24"/>
                <w:szCs w:val="24"/>
                <w:lang w:eastAsia="tr-TR"/>
              </w:rPr>
            </w:pPr>
            <w:r>
              <w:rPr>
                <w:rFonts w:ascii="Times New Roman" w:hAnsi="Times New Roman" w:cs="Times New Roman"/>
                <w:b/>
                <w:bCs/>
                <w:sz w:val="24"/>
                <w:szCs w:val="24"/>
                <w:lang w:eastAsia="tr-TR"/>
              </w:rPr>
              <w:t>TTSG:</w:t>
            </w:r>
          </w:p>
        </w:tc>
        <w:tc>
          <w:tcPr>
            <w:tcW w:w="6946" w:type="dxa"/>
          </w:tcPr>
          <w:p w:rsidR="00F565AA" w:rsidRDefault="00F565AA" w:rsidP="00F565AA">
            <w:pPr>
              <w:jc w:val="both"/>
              <w:rPr>
                <w:rFonts w:ascii="Times New Roman" w:hAnsi="Times New Roman" w:cs="Times New Roman"/>
                <w:sz w:val="24"/>
                <w:szCs w:val="24"/>
                <w:lang w:eastAsia="tr-TR"/>
              </w:rPr>
            </w:pPr>
            <w:r>
              <w:rPr>
                <w:rFonts w:ascii="Times New Roman" w:hAnsi="Times New Roman" w:cs="Times New Roman"/>
                <w:sz w:val="24"/>
                <w:szCs w:val="24"/>
                <w:lang w:eastAsia="tr-TR"/>
              </w:rPr>
              <w:t>Türkiye Ticaret Sicil Gazetesi’ni,</w:t>
            </w:r>
          </w:p>
        </w:tc>
      </w:tr>
      <w:tr w:rsidR="00F565AA" w:rsidRPr="000100CE" w:rsidTr="00C86E12">
        <w:tc>
          <w:tcPr>
            <w:tcW w:w="2552" w:type="dxa"/>
          </w:tcPr>
          <w:p w:rsidR="00F565AA" w:rsidRPr="00C86E12" w:rsidRDefault="00F565AA" w:rsidP="00F565AA">
            <w:pPr>
              <w:jc w:val="both"/>
              <w:rPr>
                <w:rFonts w:ascii="Times New Roman" w:hAnsi="Times New Roman" w:cs="Times New Roman"/>
                <w:bCs/>
                <w:sz w:val="24"/>
                <w:szCs w:val="24"/>
                <w:lang w:eastAsia="tr-TR"/>
              </w:rPr>
            </w:pPr>
            <w:r w:rsidRPr="000100CE">
              <w:rPr>
                <w:rFonts w:ascii="Times New Roman" w:hAnsi="Times New Roman" w:cs="Times New Roman"/>
                <w:b/>
                <w:bCs/>
                <w:sz w:val="24"/>
                <w:szCs w:val="24"/>
                <w:lang w:eastAsia="tr-TR"/>
              </w:rPr>
              <w:t>TEF</w:t>
            </w:r>
            <w:r w:rsidR="00935193">
              <w:rPr>
                <w:rFonts w:ascii="Times New Roman" w:hAnsi="Times New Roman" w:cs="Times New Roman"/>
                <w:b/>
                <w:bCs/>
                <w:sz w:val="24"/>
                <w:szCs w:val="24"/>
                <w:lang w:eastAsia="tr-TR"/>
              </w:rPr>
              <w:t>AS</w:t>
            </w:r>
            <w:r w:rsidRPr="000100CE">
              <w:rPr>
                <w:rFonts w:ascii="Times New Roman" w:hAnsi="Times New Roman" w:cs="Times New Roman"/>
                <w:bCs/>
                <w:sz w:val="24"/>
                <w:szCs w:val="24"/>
                <w:lang w:eastAsia="tr-TR"/>
              </w:rPr>
              <w:t>:</w:t>
            </w:r>
          </w:p>
        </w:tc>
        <w:tc>
          <w:tcPr>
            <w:tcW w:w="6946" w:type="dxa"/>
          </w:tcPr>
          <w:p w:rsidR="00F565AA" w:rsidRPr="000100CE" w:rsidRDefault="00F565AA" w:rsidP="00935193">
            <w:pPr>
              <w:jc w:val="both"/>
              <w:rPr>
                <w:rFonts w:ascii="Times New Roman" w:hAnsi="Times New Roman" w:cs="Times New Roman"/>
                <w:bCs/>
                <w:sz w:val="24"/>
                <w:szCs w:val="24"/>
                <w:lang w:eastAsia="tr-TR"/>
              </w:rPr>
            </w:pPr>
            <w:r w:rsidRPr="000100CE">
              <w:rPr>
                <w:rFonts w:ascii="Times New Roman" w:hAnsi="Times New Roman" w:cs="Times New Roman"/>
                <w:bCs/>
                <w:sz w:val="24"/>
                <w:szCs w:val="24"/>
                <w:lang w:eastAsia="tr-TR"/>
              </w:rPr>
              <w:t xml:space="preserve">Türkiye Elektronik Fon </w:t>
            </w:r>
            <w:r w:rsidR="00935193">
              <w:rPr>
                <w:rFonts w:ascii="Times New Roman" w:hAnsi="Times New Roman" w:cs="Times New Roman"/>
                <w:bCs/>
                <w:sz w:val="24"/>
                <w:szCs w:val="24"/>
                <w:lang w:eastAsia="tr-TR"/>
              </w:rPr>
              <w:t>Alım Satım Platformu’nu</w:t>
            </w:r>
            <w:r>
              <w:rPr>
                <w:rFonts w:ascii="Times New Roman" w:hAnsi="Times New Roman" w:cs="Times New Roman"/>
                <w:bCs/>
                <w:sz w:val="24"/>
                <w:szCs w:val="24"/>
                <w:lang w:eastAsia="tr-TR"/>
              </w:rPr>
              <w:t>,</w:t>
            </w:r>
          </w:p>
        </w:tc>
      </w:tr>
      <w:tr w:rsidR="00C86E12" w:rsidRPr="000100CE" w:rsidTr="00C86E12">
        <w:tc>
          <w:tcPr>
            <w:tcW w:w="2552" w:type="dxa"/>
          </w:tcPr>
          <w:p w:rsidR="00C86E12" w:rsidRPr="000100CE" w:rsidRDefault="00C86E12" w:rsidP="00F565AA">
            <w:pPr>
              <w:jc w:val="both"/>
              <w:rPr>
                <w:rFonts w:ascii="Times New Roman" w:hAnsi="Times New Roman" w:cs="Times New Roman"/>
                <w:b/>
                <w:bCs/>
                <w:sz w:val="24"/>
                <w:szCs w:val="24"/>
                <w:lang w:eastAsia="tr-TR"/>
              </w:rPr>
            </w:pPr>
            <w:r>
              <w:rPr>
                <w:rFonts w:ascii="Times New Roman" w:hAnsi="Times New Roman" w:cs="Times New Roman"/>
                <w:b/>
                <w:bCs/>
                <w:sz w:val="24"/>
                <w:szCs w:val="24"/>
                <w:lang w:eastAsia="tr-TR"/>
              </w:rPr>
              <w:t>Üst Yönetim:</w:t>
            </w:r>
          </w:p>
        </w:tc>
        <w:tc>
          <w:tcPr>
            <w:tcW w:w="6946" w:type="dxa"/>
          </w:tcPr>
          <w:p w:rsidR="00C86E12" w:rsidRPr="000100CE" w:rsidRDefault="00C86E12" w:rsidP="00F565AA">
            <w:pPr>
              <w:jc w:val="both"/>
              <w:rPr>
                <w:rFonts w:ascii="Times New Roman" w:hAnsi="Times New Roman" w:cs="Times New Roman"/>
                <w:bCs/>
                <w:sz w:val="24"/>
                <w:szCs w:val="24"/>
                <w:lang w:eastAsia="tr-TR"/>
              </w:rPr>
            </w:pPr>
            <w:r>
              <w:rPr>
                <w:rFonts w:ascii="Times New Roman" w:hAnsi="Times New Roman" w:cs="Times New Roman"/>
                <w:bCs/>
                <w:sz w:val="24"/>
                <w:szCs w:val="24"/>
                <w:lang w:eastAsia="tr-TR"/>
              </w:rPr>
              <w:t>Y</w:t>
            </w:r>
            <w:r w:rsidRPr="006C7C51">
              <w:rPr>
                <w:rFonts w:ascii="Times New Roman" w:hAnsi="Times New Roman" w:cs="Times New Roman"/>
                <w:bCs/>
                <w:sz w:val="24"/>
                <w:szCs w:val="24"/>
                <w:lang w:eastAsia="tr-TR"/>
              </w:rPr>
              <w:t xml:space="preserve">önetim kurulu başkan ve üyeleri, genel </w:t>
            </w:r>
            <w:r>
              <w:rPr>
                <w:rFonts w:ascii="Times New Roman" w:hAnsi="Times New Roman" w:cs="Times New Roman"/>
                <w:bCs/>
                <w:sz w:val="24"/>
                <w:szCs w:val="24"/>
                <w:lang w:eastAsia="tr-TR"/>
              </w:rPr>
              <w:t>müdür</w:t>
            </w:r>
            <w:r w:rsidR="00771728">
              <w:rPr>
                <w:rFonts w:ascii="Times New Roman" w:hAnsi="Times New Roman" w:cs="Times New Roman"/>
                <w:bCs/>
                <w:sz w:val="24"/>
                <w:szCs w:val="24"/>
                <w:lang w:eastAsia="tr-TR"/>
              </w:rPr>
              <w:t xml:space="preserve"> ile</w:t>
            </w:r>
            <w:r>
              <w:rPr>
                <w:rFonts w:ascii="Times New Roman" w:hAnsi="Times New Roman" w:cs="Times New Roman"/>
                <w:bCs/>
                <w:sz w:val="24"/>
                <w:szCs w:val="24"/>
                <w:lang w:eastAsia="tr-TR"/>
              </w:rPr>
              <w:t xml:space="preserve"> genel müdür yardımcılarını,</w:t>
            </w:r>
          </w:p>
        </w:tc>
      </w:tr>
      <w:tr w:rsidR="00F565AA" w:rsidRPr="000100CE" w:rsidTr="00C86E12">
        <w:tc>
          <w:tcPr>
            <w:tcW w:w="2552" w:type="dxa"/>
          </w:tcPr>
          <w:p w:rsidR="00F565AA" w:rsidRPr="000100CE" w:rsidRDefault="00F565AA" w:rsidP="00F565AA">
            <w:pPr>
              <w:jc w:val="both"/>
              <w:rPr>
                <w:rFonts w:ascii="Times New Roman" w:hAnsi="Times New Roman" w:cs="Times New Roman"/>
                <w:b/>
                <w:bCs/>
                <w:sz w:val="24"/>
                <w:szCs w:val="24"/>
                <w:lang w:eastAsia="tr-TR"/>
              </w:rPr>
            </w:pPr>
            <w:r>
              <w:rPr>
                <w:rFonts w:ascii="Times New Roman" w:hAnsi="Times New Roman" w:cs="Times New Roman"/>
                <w:b/>
                <w:bCs/>
                <w:sz w:val="24"/>
                <w:szCs w:val="24"/>
                <w:lang w:eastAsia="tr-TR"/>
              </w:rPr>
              <w:t>YTM:</w:t>
            </w:r>
          </w:p>
        </w:tc>
        <w:tc>
          <w:tcPr>
            <w:tcW w:w="6946" w:type="dxa"/>
          </w:tcPr>
          <w:p w:rsidR="00F565AA" w:rsidRPr="000100CE" w:rsidRDefault="00F565AA" w:rsidP="00F565AA">
            <w:pPr>
              <w:jc w:val="both"/>
              <w:rPr>
                <w:rFonts w:ascii="Times New Roman" w:hAnsi="Times New Roman" w:cs="Times New Roman"/>
                <w:bCs/>
                <w:sz w:val="24"/>
                <w:szCs w:val="24"/>
                <w:lang w:eastAsia="tr-TR"/>
              </w:rPr>
            </w:pPr>
            <w:r>
              <w:rPr>
                <w:rFonts w:ascii="Times New Roman" w:hAnsi="Times New Roman" w:cs="Times New Roman"/>
                <w:bCs/>
                <w:sz w:val="24"/>
                <w:szCs w:val="24"/>
                <w:lang w:eastAsia="tr-TR"/>
              </w:rPr>
              <w:t>Yatırımcı Tazmin Merkezi’ni</w:t>
            </w:r>
          </w:p>
        </w:tc>
      </w:tr>
    </w:tbl>
    <w:p w:rsidR="00A56F15" w:rsidRDefault="00A56F15" w:rsidP="001C0D5F">
      <w:pPr>
        <w:ind w:firstLine="708"/>
        <w:jc w:val="both"/>
        <w:rPr>
          <w:rFonts w:ascii="Times New Roman" w:hAnsi="Times New Roman" w:cs="Times New Roman"/>
          <w:sz w:val="24"/>
          <w:szCs w:val="24"/>
        </w:rPr>
      </w:pPr>
    </w:p>
    <w:p w:rsidR="00BE2412" w:rsidRDefault="00C65D84" w:rsidP="001C0D5F">
      <w:pPr>
        <w:ind w:firstLine="708"/>
        <w:jc w:val="both"/>
        <w:rPr>
          <w:rFonts w:ascii="Times New Roman" w:hAnsi="Times New Roman" w:cs="Times New Roman"/>
          <w:sz w:val="24"/>
          <w:szCs w:val="24"/>
        </w:rPr>
      </w:pPr>
      <w:r w:rsidRPr="000100CE">
        <w:rPr>
          <w:rFonts w:ascii="Times New Roman" w:hAnsi="Times New Roman" w:cs="Times New Roman"/>
          <w:sz w:val="24"/>
          <w:szCs w:val="24"/>
        </w:rPr>
        <w:t>ifade eder</w:t>
      </w:r>
      <w:r w:rsidR="00BE2412">
        <w:rPr>
          <w:rFonts w:ascii="Times New Roman" w:hAnsi="Times New Roman" w:cs="Times New Roman"/>
          <w:sz w:val="24"/>
          <w:szCs w:val="24"/>
        </w:rPr>
        <w:t>.</w:t>
      </w:r>
    </w:p>
    <w:p w:rsidR="007901CF" w:rsidRDefault="00BE2412" w:rsidP="001C0D5F">
      <w:pPr>
        <w:jc w:val="both"/>
        <w:rPr>
          <w:rFonts w:ascii="Times New Roman" w:hAnsi="Times New Roman" w:cs="Times New Roman"/>
          <w:sz w:val="24"/>
          <w:szCs w:val="24"/>
        </w:rPr>
      </w:pPr>
      <w:r>
        <w:rPr>
          <w:rFonts w:ascii="Times New Roman" w:hAnsi="Times New Roman" w:cs="Times New Roman"/>
          <w:sz w:val="24"/>
          <w:szCs w:val="24"/>
        </w:rPr>
        <w:br w:type="page"/>
      </w:r>
    </w:p>
    <w:p w:rsidR="00773E56" w:rsidRDefault="0073360E" w:rsidP="00180CBC">
      <w:pPr>
        <w:pStyle w:val="Heading1"/>
        <w:spacing w:after="240"/>
      </w:pPr>
      <w:bookmarkStart w:id="2" w:name="_Toc384026355"/>
      <w:bookmarkStart w:id="3" w:name="_Toc384027492"/>
      <w:bookmarkStart w:id="4" w:name="_Toc384027575"/>
      <w:bookmarkStart w:id="5" w:name="_Toc384025604"/>
      <w:bookmarkStart w:id="6" w:name="_Toc384026358"/>
      <w:bookmarkStart w:id="7" w:name="_Toc384027495"/>
      <w:bookmarkStart w:id="8" w:name="_Toc384027578"/>
      <w:bookmarkStart w:id="9" w:name="_Toc384028685"/>
      <w:bookmarkStart w:id="10" w:name="_Toc384036488"/>
      <w:bookmarkStart w:id="11" w:name="_Toc384036584"/>
      <w:bookmarkStart w:id="12" w:name="_Toc384036920"/>
      <w:bookmarkStart w:id="13" w:name="_Toc384051228"/>
      <w:bookmarkStart w:id="14" w:name="_Toc384052226"/>
      <w:bookmarkStart w:id="15" w:name="_Toc384126007"/>
      <w:bookmarkStart w:id="16" w:name="_Toc384126094"/>
      <w:bookmarkStart w:id="17" w:name="_Toc384126521"/>
      <w:bookmarkStart w:id="18" w:name="_Toc130312529"/>
      <w:bookmarkStart w:id="19" w:name="_Toc130312661"/>
      <w:bookmarkEnd w:id="2"/>
      <w:bookmarkEnd w:id="3"/>
      <w:bookmarkEnd w:id="4"/>
      <w:bookmarkEnd w:id="5"/>
      <w:bookmarkEnd w:id="6"/>
      <w:bookmarkEnd w:id="7"/>
      <w:bookmarkEnd w:id="8"/>
      <w:r>
        <w:t>1.</w:t>
      </w:r>
      <w:bookmarkStart w:id="20" w:name="_Toc384025605"/>
      <w:bookmarkStart w:id="21" w:name="_Toc384026359"/>
      <w:bookmarkStart w:id="22" w:name="_Toc384027496"/>
      <w:bookmarkStart w:id="23" w:name="_Toc384027579"/>
      <w:bookmarkStart w:id="24" w:name="_Toc384025606"/>
      <w:bookmarkStart w:id="25" w:name="_Toc384026360"/>
      <w:bookmarkStart w:id="26" w:name="_Toc384027497"/>
      <w:bookmarkStart w:id="27" w:name="_Toc384027580"/>
      <w:bookmarkStart w:id="28" w:name="_Toc384025607"/>
      <w:bookmarkStart w:id="29" w:name="_Toc384026361"/>
      <w:bookmarkStart w:id="30" w:name="_Toc384027498"/>
      <w:bookmarkStart w:id="31" w:name="_Toc384027581"/>
      <w:bookmarkStart w:id="32" w:name="_Toc384026362"/>
      <w:bookmarkStart w:id="33" w:name="_Toc384027499"/>
      <w:bookmarkStart w:id="34" w:name="_Toc384027582"/>
      <w:bookmarkStart w:id="35" w:name="_Toc384026364"/>
      <w:bookmarkStart w:id="36" w:name="_Toc384027501"/>
      <w:bookmarkStart w:id="37" w:name="_Toc384027584"/>
      <w:bookmarkStart w:id="38" w:name="_Toc384026365"/>
      <w:bookmarkStart w:id="39" w:name="_Toc384027502"/>
      <w:bookmarkStart w:id="40" w:name="_Toc384027585"/>
      <w:bookmarkStart w:id="41" w:name="_Toc384026366"/>
      <w:bookmarkStart w:id="42" w:name="_Toc384027503"/>
      <w:bookmarkStart w:id="43" w:name="_Toc384027586"/>
      <w:bookmarkStart w:id="44" w:name="_Toc384026367"/>
      <w:bookmarkStart w:id="45" w:name="_Toc384027504"/>
      <w:bookmarkStart w:id="46" w:name="_Toc384027587"/>
      <w:bookmarkStart w:id="47" w:name="_Toc384026368"/>
      <w:bookmarkStart w:id="48" w:name="_Toc384027505"/>
      <w:bookmarkStart w:id="49" w:name="_Toc384027588"/>
      <w:bookmarkStart w:id="50" w:name="_Toc384026369"/>
      <w:bookmarkStart w:id="51" w:name="_Toc384027506"/>
      <w:bookmarkStart w:id="52" w:name="_Toc384027589"/>
      <w:bookmarkStart w:id="53" w:name="_Toc384026370"/>
      <w:bookmarkStart w:id="54" w:name="_Toc384027507"/>
      <w:bookmarkStart w:id="55" w:name="_Toc384027590"/>
      <w:bookmarkStart w:id="56" w:name="_Toc384026371"/>
      <w:bookmarkStart w:id="57" w:name="_Toc384027508"/>
      <w:bookmarkStart w:id="58" w:name="_Toc384027591"/>
      <w:bookmarkStart w:id="59" w:name="_Toc384026372"/>
      <w:bookmarkStart w:id="60" w:name="_Toc384027509"/>
      <w:bookmarkStart w:id="61" w:name="_Toc384027592"/>
      <w:bookmarkStart w:id="62" w:name="_Toc384026373"/>
      <w:bookmarkStart w:id="63" w:name="_Toc384027510"/>
      <w:bookmarkStart w:id="64" w:name="_Toc384027593"/>
      <w:bookmarkStart w:id="65" w:name="_Toc384026374"/>
      <w:bookmarkStart w:id="66" w:name="_Toc384027511"/>
      <w:bookmarkStart w:id="67" w:name="_Toc384027594"/>
      <w:bookmarkStart w:id="68" w:name="_Toc384026375"/>
      <w:bookmarkStart w:id="69" w:name="_Toc384027512"/>
      <w:bookmarkStart w:id="70" w:name="_Toc384027595"/>
      <w:bookmarkStart w:id="71" w:name="_Toc384026376"/>
      <w:bookmarkStart w:id="72" w:name="_Toc384027513"/>
      <w:bookmarkStart w:id="73" w:name="_Toc384027596"/>
      <w:bookmarkStart w:id="74" w:name="_Toc384026377"/>
      <w:bookmarkStart w:id="75" w:name="_Toc384027514"/>
      <w:bookmarkStart w:id="76" w:name="_Toc384027597"/>
      <w:bookmarkEnd w:id="9"/>
      <w:bookmarkEnd w:id="10"/>
      <w:bookmarkEnd w:id="11"/>
      <w:bookmarkEnd w:id="12"/>
      <w:bookmarkEnd w:id="13"/>
      <w:bookmarkEnd w:id="14"/>
      <w:bookmarkEnd w:id="15"/>
      <w:bookmarkEnd w:id="16"/>
      <w:bookmarkEnd w:id="17"/>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00773E56" w:rsidRPr="00A60A07">
        <w:t>Fon Türleri</w:t>
      </w:r>
      <w:r w:rsidR="00D86610">
        <w:t>ne İlişkin Esaslar</w:t>
      </w:r>
      <w:bookmarkEnd w:id="18"/>
      <w:bookmarkEnd w:id="19"/>
    </w:p>
    <w:p w:rsidR="00651199" w:rsidRDefault="00841B98" w:rsidP="00427C1D">
      <w:pPr>
        <w:pStyle w:val="BodyText2"/>
        <w:spacing w:line="240" w:lineRule="auto"/>
        <w:ind w:firstLine="633"/>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Fon Tebliği’nin 6. maddesinin dördüncü fıkrası çerçevesinde Kurulca uygun görülmesi koşuluyla, anılan maddede sayılanlar dışında yeni şemsiye fon türleri belirlenebilir. </w:t>
      </w:r>
    </w:p>
    <w:p w:rsidR="00D86610" w:rsidRDefault="00D86610" w:rsidP="00427C1D">
      <w:pPr>
        <w:pStyle w:val="BodyText2"/>
        <w:spacing w:line="240" w:lineRule="auto"/>
        <w:ind w:firstLine="633"/>
        <w:jc w:val="both"/>
        <w:rPr>
          <w:rFonts w:ascii="Times New Roman" w:eastAsia="Times New Roman" w:hAnsi="Times New Roman" w:cs="Times New Roman"/>
          <w:bCs/>
          <w:sz w:val="24"/>
          <w:szCs w:val="24"/>
          <w:lang w:eastAsia="tr-TR"/>
        </w:rPr>
      </w:pPr>
    </w:p>
    <w:p w:rsidR="00435994" w:rsidRDefault="00651199" w:rsidP="00435994">
      <w:pPr>
        <w:pStyle w:val="Heading1"/>
        <w:spacing w:after="240"/>
        <w:jc w:val="both"/>
      </w:pPr>
      <w:bookmarkStart w:id="77" w:name="_Toc130312530"/>
      <w:bookmarkStart w:id="78" w:name="_Toc130312662"/>
      <w:r>
        <w:rPr>
          <w:rFonts w:eastAsia="Times New Roman" w:cs="Times New Roman"/>
          <w:bCs/>
          <w:szCs w:val="24"/>
          <w:lang w:eastAsia="tr-TR"/>
        </w:rPr>
        <w:t>1</w:t>
      </w:r>
      <w:r w:rsidRPr="00651199">
        <w:rPr>
          <w:rFonts w:eastAsia="Times New Roman" w:cs="Times New Roman"/>
          <w:bCs/>
          <w:szCs w:val="24"/>
          <w:lang w:eastAsia="tr-TR"/>
        </w:rPr>
        <w:t xml:space="preserve">.1. </w:t>
      </w:r>
      <w:r w:rsidR="00435994" w:rsidRPr="009168AA">
        <w:t xml:space="preserve">(Değişiklik: </w:t>
      </w:r>
      <w:r w:rsidR="009168AA" w:rsidRPr="009168AA">
        <w:t xml:space="preserve">23.05.2016 </w:t>
      </w:r>
      <w:r w:rsidR="00435994" w:rsidRPr="009168AA">
        <w:t xml:space="preserve">tarih ve </w:t>
      </w:r>
      <w:r w:rsidR="009168AA" w:rsidRPr="009168AA">
        <w:t>1</w:t>
      </w:r>
      <w:r w:rsidR="00435994" w:rsidRPr="009168AA">
        <w:t>7/</w:t>
      </w:r>
      <w:r w:rsidR="009168AA" w:rsidRPr="009168AA">
        <w:t xml:space="preserve">573 </w:t>
      </w:r>
      <w:r w:rsidR="00435994" w:rsidRPr="009168AA">
        <w:t>sayılı Kurul Kararı ile)</w:t>
      </w:r>
      <w:r w:rsidR="00435994">
        <w:t xml:space="preserve"> </w:t>
      </w:r>
      <w:r w:rsidR="00435994" w:rsidRPr="00651199">
        <w:rPr>
          <w:rFonts w:eastAsia="Times New Roman" w:cs="Times New Roman"/>
          <w:bCs/>
          <w:szCs w:val="24"/>
          <w:lang w:eastAsia="tr-TR"/>
        </w:rPr>
        <w:t>Karma Şemsiye Fon</w:t>
      </w:r>
      <w:bookmarkEnd w:id="77"/>
      <w:bookmarkEnd w:id="78"/>
      <w:r w:rsidR="00435994">
        <w:rPr>
          <w:rFonts w:eastAsia="Times New Roman" w:cs="Times New Roman"/>
          <w:bCs/>
          <w:szCs w:val="24"/>
          <w:lang w:eastAsia="tr-TR"/>
        </w:rPr>
        <w:t xml:space="preserve"> </w:t>
      </w:r>
    </w:p>
    <w:p w:rsidR="00152759" w:rsidRDefault="00435994" w:rsidP="00435994">
      <w:pPr>
        <w:pStyle w:val="BodyText2"/>
        <w:spacing w:line="240" w:lineRule="auto"/>
        <w:ind w:firstLine="633"/>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Fon portföyünün tamamı</w:t>
      </w:r>
      <w:r w:rsidRPr="00302A70">
        <w:rPr>
          <w:rFonts w:ascii="Times New Roman" w:eastAsia="Times New Roman" w:hAnsi="Times New Roman" w:cs="Times New Roman"/>
          <w:bCs/>
          <w:sz w:val="24"/>
          <w:szCs w:val="24"/>
          <w:lang w:eastAsia="tr-TR"/>
        </w:rPr>
        <w:t xml:space="preserve"> Fon Tebliği’nin 4 üncü maddesinde sayılan para ve sermaye piyasası araçlarından oluşan ve ortaklık payları, borçlanma araçları, kira sertifikaları, altın ve diğer kıymetli madenler ile bu madenlere dayalı olarak ihraç edilen sermaye piyasası araçlarının en az ikisinin ayrı ayrı fon toplam değerine oranı asgari  %20, birlikte fon toplam değerine oranı ise asgari %80 olan fonları kapsayan şemsiye fonlar "Karma Şemsiye Fon" olarak adlandırılır</w:t>
      </w:r>
      <w:r w:rsidRPr="009041B4">
        <w:rPr>
          <w:rFonts w:ascii="Times New Roman" w:eastAsia="Times New Roman" w:hAnsi="Times New Roman" w:cs="Times New Roman"/>
          <w:bCs/>
          <w:sz w:val="24"/>
          <w:szCs w:val="24"/>
          <w:lang w:eastAsia="tr-TR"/>
        </w:rPr>
        <w:t>.</w:t>
      </w:r>
    </w:p>
    <w:p w:rsidR="00435994" w:rsidRDefault="00435994" w:rsidP="00435994">
      <w:pPr>
        <w:pStyle w:val="BodyText2"/>
        <w:spacing w:line="240" w:lineRule="auto"/>
        <w:ind w:firstLine="633"/>
        <w:jc w:val="both"/>
        <w:rPr>
          <w:rFonts w:ascii="Times New Roman" w:eastAsia="Times New Roman" w:hAnsi="Times New Roman" w:cs="Times New Roman"/>
          <w:bCs/>
          <w:sz w:val="24"/>
          <w:szCs w:val="24"/>
          <w:lang w:eastAsia="tr-TR"/>
        </w:rPr>
      </w:pPr>
    </w:p>
    <w:p w:rsidR="00152759" w:rsidRDefault="00152759" w:rsidP="00640F68">
      <w:pPr>
        <w:pStyle w:val="Heading2"/>
        <w:spacing w:after="240"/>
        <w:jc w:val="both"/>
      </w:pPr>
      <w:bookmarkStart w:id="79" w:name="_Toc130312531"/>
      <w:bookmarkStart w:id="80" w:name="_Toc130312663"/>
      <w:r>
        <w:rPr>
          <w:rFonts w:eastAsia="Times New Roman" w:cs="Times New Roman"/>
          <w:bCs/>
          <w:szCs w:val="24"/>
          <w:lang w:eastAsia="tr-TR"/>
        </w:rPr>
        <w:t>1.2</w:t>
      </w:r>
      <w:r w:rsidRPr="00651199">
        <w:rPr>
          <w:rFonts w:eastAsia="Times New Roman" w:cs="Times New Roman"/>
          <w:bCs/>
          <w:szCs w:val="24"/>
          <w:lang w:eastAsia="tr-TR"/>
        </w:rPr>
        <w:t xml:space="preserve">. </w:t>
      </w:r>
      <w:r>
        <w:t>(Ek:</w:t>
      </w:r>
      <w:r w:rsidRPr="009D307D">
        <w:t xml:space="preserve"> </w:t>
      </w:r>
      <w:r>
        <w:t>02</w:t>
      </w:r>
      <w:r w:rsidRPr="004E78A3">
        <w:t>.</w:t>
      </w:r>
      <w:r>
        <w:t>10</w:t>
      </w:r>
      <w:r w:rsidRPr="004E78A3">
        <w:t>.2015 tarih ve 2</w:t>
      </w:r>
      <w:r>
        <w:t>7</w:t>
      </w:r>
      <w:r w:rsidRPr="004E78A3">
        <w:t>/11</w:t>
      </w:r>
      <w:r>
        <w:t>99</w:t>
      </w:r>
      <w:r w:rsidRPr="004E78A3">
        <w:t xml:space="preserve"> sayılı </w:t>
      </w:r>
      <w:r>
        <w:t xml:space="preserve">Kurul </w:t>
      </w:r>
      <w:r w:rsidRPr="009D307D">
        <w:t>Kararı</w:t>
      </w:r>
      <w:r>
        <w:t xml:space="preserve"> ile) Aynı Türdeki Şemsiye Fona Bağlı Olarak İhraç Edilecek Fon Sayısının Belirlenmesine İlişkin Esaslar</w:t>
      </w:r>
      <w:bookmarkEnd w:id="79"/>
      <w:bookmarkEnd w:id="80"/>
    </w:p>
    <w:p w:rsidR="00152759" w:rsidRDefault="00152759" w:rsidP="00152759">
      <w:pPr>
        <w:jc w:val="both"/>
        <w:rPr>
          <w:rFonts w:ascii="Times New Roman" w:eastAsia="Times New Roman" w:hAnsi="Times New Roman" w:cs="Times New Roman"/>
          <w:bCs/>
          <w:sz w:val="24"/>
          <w:szCs w:val="24"/>
          <w:lang w:eastAsia="tr-TR"/>
        </w:rPr>
      </w:pPr>
      <w:r>
        <w:tab/>
      </w:r>
      <w:r w:rsidRPr="00152759">
        <w:rPr>
          <w:rFonts w:ascii="Times New Roman" w:eastAsia="Times New Roman" w:hAnsi="Times New Roman" w:cs="Times New Roman"/>
          <w:bCs/>
          <w:sz w:val="24"/>
          <w:szCs w:val="24"/>
          <w:lang w:eastAsia="tr-TR"/>
        </w:rPr>
        <w:t xml:space="preserve">Portföy yönetim şirketleri tarafından; serbest şemsiye fon, koruma amaçlı şemsiye fon ve garantili şemsiye fon ile özel fon niteliği taşıyanlar hariç olmak üzere, aynı türdeki şemsiye fonlara bağlı olarak azami iki adet fon ihraç edilebilir. Şu kadar ki; </w:t>
      </w:r>
    </w:p>
    <w:p w:rsidR="00152759" w:rsidRDefault="00152759" w:rsidP="00152759">
      <w:pPr>
        <w:pStyle w:val="NormalWeb"/>
        <w:numPr>
          <w:ilvl w:val="0"/>
          <w:numId w:val="11"/>
        </w:numPr>
        <w:shd w:val="clear" w:color="auto" w:fill="FFFFFF"/>
        <w:spacing w:before="0" w:beforeAutospacing="0" w:after="240" w:afterAutospacing="0"/>
        <w:ind w:left="993"/>
        <w:jc w:val="both"/>
        <w:rPr>
          <w:bCs/>
        </w:rPr>
      </w:pPr>
      <w:r w:rsidRPr="00152759">
        <w:rPr>
          <w:bCs/>
        </w:rPr>
        <w:t xml:space="preserve"> Yatırım stratejisinin farklılaşmasına bağlı olarak Fon Tebliği ve Rehber hükümleri çerçevesinde belirli ibarelere fon unvanında yer verilmesi suretiyle farklılaştırılan fonlar (BIST 100 Endeksi Hisse Senedi Fonu, Bankacılık Sektörü Hisse Senedi Fonu, Mutlak Getiri Hedefli Değişken Fon gibi) ile farklı dağıtım kanalları (internet, ATM, telefon bankacılığı, TEFAS vb.) kullanan, farklı katılma payı alım satım esasları uygulayan ve/veya farklı yatırımcı kitlesine sunulan fonlar bu sayının hesaplanmasında dikkate alınmaz. Öte yandan, Fon Tebliği’nin 20. maddesinin birinci fıkrasında yer alan esaslar çerçevesinde fon unvanında fonun vade yapısına yer verilmesi halinde, borçlanma araçları şemsiye fonuna bağlı olarak katılma payları ihraç edilecek kısa, orta ve uzun vadeli fonlarda, söz konusu sınır aynı vade yapısına sahip fonlar bazında uygulanır. </w:t>
      </w:r>
    </w:p>
    <w:p w:rsidR="00152759" w:rsidRDefault="00435994" w:rsidP="008803CF">
      <w:pPr>
        <w:pStyle w:val="NormalWeb"/>
        <w:numPr>
          <w:ilvl w:val="0"/>
          <w:numId w:val="11"/>
        </w:numPr>
        <w:shd w:val="clear" w:color="auto" w:fill="FFFFFF"/>
        <w:spacing w:before="0" w:beforeAutospacing="0" w:after="240" w:afterAutospacing="0"/>
        <w:ind w:left="993" w:hanging="426"/>
        <w:jc w:val="both"/>
        <w:rPr>
          <w:bCs/>
        </w:rPr>
      </w:pPr>
      <w:r w:rsidRPr="009168AA">
        <w:rPr>
          <w:b/>
        </w:rPr>
        <w:t>(</w:t>
      </w:r>
      <w:r w:rsidRPr="009168AA">
        <w:rPr>
          <w:rFonts w:eastAsiaTheme="majorEastAsia" w:cstheme="majorBidi"/>
          <w:b/>
          <w:szCs w:val="32"/>
          <w:lang w:eastAsia="en-US"/>
        </w:rPr>
        <w:t xml:space="preserve">Değişiklik: </w:t>
      </w:r>
      <w:r w:rsidR="009168AA" w:rsidRPr="009168AA">
        <w:rPr>
          <w:b/>
        </w:rPr>
        <w:t>23.05.2016 tarih ve 17/573 sayılı Kurul Kararı ile)</w:t>
      </w:r>
      <w:r w:rsidR="00CB6A87">
        <w:rPr>
          <w:b/>
        </w:rPr>
        <w:t xml:space="preserve">  </w:t>
      </w:r>
      <w:r w:rsidR="00CB6A87" w:rsidRPr="00CB6A87">
        <w:rPr>
          <w:b/>
        </w:rPr>
        <w:t xml:space="preserve">(Değişiklik: </w:t>
      </w:r>
      <w:r w:rsidR="00CB6A87">
        <w:rPr>
          <w:b/>
        </w:rPr>
        <w:t>14</w:t>
      </w:r>
      <w:r w:rsidR="00CB6A87" w:rsidRPr="00CB6A87">
        <w:rPr>
          <w:b/>
        </w:rPr>
        <w:t>.</w:t>
      </w:r>
      <w:r w:rsidR="00CB6A87">
        <w:rPr>
          <w:b/>
        </w:rPr>
        <w:t>11.2019</w:t>
      </w:r>
      <w:r w:rsidR="00CB6A87" w:rsidRPr="00CB6A87">
        <w:rPr>
          <w:b/>
        </w:rPr>
        <w:t xml:space="preserve"> tarih ve </w:t>
      </w:r>
      <w:r w:rsidR="00CB6A87">
        <w:rPr>
          <w:b/>
        </w:rPr>
        <w:t>65</w:t>
      </w:r>
      <w:r w:rsidR="00CB6A87" w:rsidRPr="00CB6A87">
        <w:rPr>
          <w:b/>
        </w:rPr>
        <w:t>/</w:t>
      </w:r>
      <w:r w:rsidR="00CB6A87">
        <w:rPr>
          <w:b/>
        </w:rPr>
        <w:t>1464</w:t>
      </w:r>
      <w:r w:rsidR="00CB6A87" w:rsidRPr="00CB6A87">
        <w:rPr>
          <w:b/>
        </w:rPr>
        <w:t xml:space="preserve"> sayılı Kurul Kararı ile)</w:t>
      </w:r>
      <w:r w:rsidR="009168AA">
        <w:t xml:space="preserve"> </w:t>
      </w:r>
      <w:r w:rsidR="002958E4">
        <w:rPr>
          <w:b/>
        </w:rPr>
        <w:t xml:space="preserve">(Değişiklik: 22.04.2022 tarih ve </w:t>
      </w:r>
      <w:r w:rsidR="00C42D9D">
        <w:rPr>
          <w:b/>
        </w:rPr>
        <w:t>19/629</w:t>
      </w:r>
      <w:r w:rsidR="002958E4">
        <w:rPr>
          <w:b/>
        </w:rPr>
        <w:t xml:space="preserve"> sayılı Kurul Kararı ile)</w:t>
      </w:r>
      <w:r w:rsidR="002958E4">
        <w:t xml:space="preserve"> </w:t>
      </w:r>
      <w:r w:rsidR="00152759" w:rsidRPr="00152759">
        <w:rPr>
          <w:bCs/>
        </w:rPr>
        <w:t xml:space="preserve">Değişken şemsiye fona </w:t>
      </w:r>
      <w:r w:rsidR="00B1768D">
        <w:t xml:space="preserve">ve fon sepeti şemsiye fonuna </w:t>
      </w:r>
      <w:r w:rsidR="00152759" w:rsidRPr="00152759">
        <w:rPr>
          <w:bCs/>
        </w:rPr>
        <w:t xml:space="preserve">bağlı olarak katılma payları ihraç edilecek fonların yatırım stratejilerinin Rehber’de hesaplama yöntemine yer verilen risk değeri baz alınarak belirlenmesi, her bir risk değer grubundan en fazla bir adet fon ihraç edilmesi ve fon adında fon türüne ilaveten aşağıda yer alan ifadelere de yer verilmesi şartıyla, ihraç edilebilecek azami fon sayısı risk değerli olanlar da dahil dördü geçemez. </w:t>
      </w:r>
    </w:p>
    <w:tbl>
      <w:tblPr>
        <w:tblStyle w:val="TableGrid"/>
        <w:tblW w:w="5811" w:type="dxa"/>
        <w:tblInd w:w="2247" w:type="dxa"/>
        <w:tblLook w:val="04A0" w:firstRow="1" w:lastRow="0" w:firstColumn="1" w:lastColumn="0" w:noHBand="0" w:noVBand="1"/>
      </w:tblPr>
      <w:tblGrid>
        <w:gridCol w:w="3969"/>
        <w:gridCol w:w="1842"/>
      </w:tblGrid>
      <w:tr w:rsidR="00152759" w:rsidRPr="004E5309" w:rsidTr="00152759">
        <w:trPr>
          <w:trHeight w:val="277"/>
        </w:trPr>
        <w:tc>
          <w:tcPr>
            <w:tcW w:w="3969" w:type="dxa"/>
          </w:tcPr>
          <w:p w:rsidR="00152759" w:rsidRPr="004E5309" w:rsidRDefault="00152759" w:rsidP="00152759">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Fon Adı</w:t>
            </w:r>
          </w:p>
        </w:tc>
        <w:tc>
          <w:tcPr>
            <w:tcW w:w="1842" w:type="dxa"/>
          </w:tcPr>
          <w:p w:rsidR="00152759" w:rsidRPr="004E5309" w:rsidRDefault="00152759" w:rsidP="00152759">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Risk Değeri</w:t>
            </w:r>
          </w:p>
        </w:tc>
      </w:tr>
      <w:tr w:rsidR="00152759" w:rsidRPr="004E5309" w:rsidTr="00152759">
        <w:trPr>
          <w:trHeight w:val="206"/>
        </w:trPr>
        <w:tc>
          <w:tcPr>
            <w:tcW w:w="3969" w:type="dxa"/>
          </w:tcPr>
          <w:p w:rsidR="00152759" w:rsidRPr="004E5309" w:rsidRDefault="00152759" w:rsidP="00435994">
            <w:pPr>
              <w:jc w:val="both"/>
              <w:rPr>
                <w:rFonts w:ascii="Times New Roman" w:hAnsi="Times New Roman" w:cs="Times New Roman"/>
                <w:color w:val="000000"/>
                <w:sz w:val="24"/>
                <w:szCs w:val="24"/>
              </w:rPr>
            </w:pPr>
            <w:r w:rsidRPr="00152759">
              <w:rPr>
                <w:rFonts w:ascii="Times New Roman" w:hAnsi="Times New Roman" w:cs="Times New Roman"/>
                <w:color w:val="000000"/>
                <w:sz w:val="24"/>
                <w:szCs w:val="24"/>
              </w:rPr>
              <w:t>Muhafazakar</w:t>
            </w:r>
            <w:r w:rsidR="00CB6A87">
              <w:rPr>
                <w:rFonts w:ascii="Times New Roman" w:hAnsi="Times New Roman" w:cs="Times New Roman"/>
                <w:color w:val="000000"/>
                <w:sz w:val="24"/>
                <w:szCs w:val="24"/>
              </w:rPr>
              <w:t>/Temkinli</w:t>
            </w:r>
          </w:p>
        </w:tc>
        <w:tc>
          <w:tcPr>
            <w:tcW w:w="1842" w:type="dxa"/>
          </w:tcPr>
          <w:p w:rsidR="00152759" w:rsidRPr="004E5309" w:rsidRDefault="00152759" w:rsidP="00152759">
            <w:pPr>
              <w:jc w:val="both"/>
              <w:rPr>
                <w:rFonts w:ascii="Times New Roman" w:hAnsi="Times New Roman" w:cs="Times New Roman"/>
                <w:color w:val="000000"/>
                <w:sz w:val="24"/>
                <w:szCs w:val="24"/>
              </w:rPr>
            </w:pPr>
            <w:r>
              <w:rPr>
                <w:rFonts w:ascii="Times New Roman" w:hAnsi="Times New Roman" w:cs="Times New Roman"/>
                <w:color w:val="000000"/>
                <w:sz w:val="24"/>
                <w:szCs w:val="24"/>
              </w:rPr>
              <w:t>1-2</w:t>
            </w:r>
          </w:p>
        </w:tc>
      </w:tr>
      <w:tr w:rsidR="00152759" w:rsidRPr="004E5309" w:rsidTr="00152759">
        <w:trPr>
          <w:trHeight w:val="282"/>
        </w:trPr>
        <w:tc>
          <w:tcPr>
            <w:tcW w:w="3969" w:type="dxa"/>
          </w:tcPr>
          <w:p w:rsidR="00152759" w:rsidRPr="004E5309" w:rsidRDefault="00152759" w:rsidP="00152759">
            <w:pPr>
              <w:jc w:val="both"/>
              <w:rPr>
                <w:rFonts w:ascii="Times New Roman" w:hAnsi="Times New Roman" w:cs="Times New Roman"/>
                <w:color w:val="000000"/>
                <w:sz w:val="24"/>
                <w:szCs w:val="24"/>
              </w:rPr>
            </w:pPr>
            <w:r w:rsidRPr="00152759">
              <w:rPr>
                <w:rFonts w:ascii="Times New Roman" w:hAnsi="Times New Roman" w:cs="Times New Roman"/>
                <w:color w:val="000000"/>
                <w:sz w:val="24"/>
                <w:szCs w:val="24"/>
              </w:rPr>
              <w:t>Dengeli</w:t>
            </w:r>
          </w:p>
        </w:tc>
        <w:tc>
          <w:tcPr>
            <w:tcW w:w="1842" w:type="dxa"/>
          </w:tcPr>
          <w:p w:rsidR="00152759" w:rsidRPr="004E5309" w:rsidRDefault="00152759" w:rsidP="00152759">
            <w:pPr>
              <w:jc w:val="both"/>
              <w:rPr>
                <w:rFonts w:ascii="Times New Roman" w:hAnsi="Times New Roman" w:cs="Times New Roman"/>
                <w:color w:val="000000"/>
                <w:sz w:val="24"/>
                <w:szCs w:val="24"/>
              </w:rPr>
            </w:pPr>
            <w:r>
              <w:rPr>
                <w:rFonts w:ascii="Times New Roman" w:hAnsi="Times New Roman" w:cs="Times New Roman"/>
                <w:color w:val="000000"/>
                <w:sz w:val="24"/>
                <w:szCs w:val="24"/>
              </w:rPr>
              <w:t>3-4</w:t>
            </w:r>
            <w:r w:rsidRPr="004E5309">
              <w:rPr>
                <w:rFonts w:ascii="Times New Roman" w:hAnsi="Times New Roman" w:cs="Times New Roman"/>
                <w:color w:val="000000"/>
                <w:sz w:val="24"/>
                <w:szCs w:val="24"/>
              </w:rPr>
              <w:t xml:space="preserve"> </w:t>
            </w:r>
          </w:p>
        </w:tc>
      </w:tr>
      <w:tr w:rsidR="00152759" w:rsidRPr="004E5309" w:rsidTr="00152759">
        <w:trPr>
          <w:trHeight w:val="272"/>
        </w:trPr>
        <w:tc>
          <w:tcPr>
            <w:tcW w:w="3969" w:type="dxa"/>
          </w:tcPr>
          <w:p w:rsidR="00152759" w:rsidRPr="004E5309" w:rsidRDefault="00152759" w:rsidP="00152759">
            <w:pPr>
              <w:jc w:val="both"/>
              <w:rPr>
                <w:rFonts w:ascii="Times New Roman" w:hAnsi="Times New Roman" w:cs="Times New Roman"/>
                <w:color w:val="000000"/>
                <w:sz w:val="24"/>
                <w:szCs w:val="24"/>
              </w:rPr>
            </w:pPr>
            <w:r w:rsidRPr="00152759">
              <w:rPr>
                <w:rFonts w:ascii="Times New Roman" w:hAnsi="Times New Roman" w:cs="Times New Roman"/>
                <w:color w:val="000000"/>
                <w:sz w:val="24"/>
                <w:szCs w:val="24"/>
              </w:rPr>
              <w:t>Atak/Dinamik/Büyüme</w:t>
            </w:r>
          </w:p>
        </w:tc>
        <w:tc>
          <w:tcPr>
            <w:tcW w:w="1842" w:type="dxa"/>
          </w:tcPr>
          <w:p w:rsidR="00152759" w:rsidRPr="004E5309" w:rsidRDefault="00152759" w:rsidP="00152759">
            <w:pPr>
              <w:jc w:val="both"/>
              <w:rPr>
                <w:rFonts w:ascii="Times New Roman" w:hAnsi="Times New Roman" w:cs="Times New Roman"/>
                <w:color w:val="000000"/>
                <w:sz w:val="24"/>
                <w:szCs w:val="24"/>
              </w:rPr>
            </w:pPr>
            <w:r>
              <w:rPr>
                <w:rFonts w:ascii="Times New Roman" w:hAnsi="Times New Roman" w:cs="Times New Roman"/>
                <w:color w:val="000000"/>
                <w:sz w:val="24"/>
                <w:szCs w:val="24"/>
              </w:rPr>
              <w:t>4-5</w:t>
            </w:r>
          </w:p>
        </w:tc>
      </w:tr>
      <w:tr w:rsidR="00152759" w:rsidRPr="004E5309" w:rsidTr="00152759">
        <w:trPr>
          <w:trHeight w:val="338"/>
        </w:trPr>
        <w:tc>
          <w:tcPr>
            <w:tcW w:w="3969" w:type="dxa"/>
          </w:tcPr>
          <w:p w:rsidR="00152759" w:rsidRPr="004E5309" w:rsidRDefault="00152759" w:rsidP="00152759">
            <w:pPr>
              <w:jc w:val="both"/>
              <w:rPr>
                <w:rFonts w:ascii="Times New Roman" w:hAnsi="Times New Roman" w:cs="Times New Roman"/>
                <w:color w:val="000000"/>
                <w:sz w:val="24"/>
                <w:szCs w:val="24"/>
              </w:rPr>
            </w:pPr>
            <w:r w:rsidRPr="00152759">
              <w:rPr>
                <w:rFonts w:ascii="Times New Roman" w:hAnsi="Times New Roman" w:cs="Times New Roman"/>
                <w:color w:val="000000"/>
                <w:sz w:val="24"/>
                <w:szCs w:val="24"/>
              </w:rPr>
              <w:t>Agresif</w:t>
            </w:r>
          </w:p>
        </w:tc>
        <w:tc>
          <w:tcPr>
            <w:tcW w:w="1842" w:type="dxa"/>
          </w:tcPr>
          <w:p w:rsidR="00152759" w:rsidRPr="004E5309" w:rsidRDefault="00152759" w:rsidP="00152759">
            <w:pPr>
              <w:jc w:val="both"/>
              <w:rPr>
                <w:rFonts w:ascii="Times New Roman" w:hAnsi="Times New Roman" w:cs="Times New Roman"/>
                <w:color w:val="000000"/>
                <w:sz w:val="24"/>
                <w:szCs w:val="24"/>
              </w:rPr>
            </w:pPr>
            <w:r>
              <w:rPr>
                <w:rFonts w:ascii="Times New Roman" w:hAnsi="Times New Roman" w:cs="Times New Roman"/>
                <w:color w:val="000000"/>
                <w:sz w:val="24"/>
                <w:szCs w:val="24"/>
              </w:rPr>
              <w:t>5-7</w:t>
            </w:r>
          </w:p>
        </w:tc>
      </w:tr>
    </w:tbl>
    <w:p w:rsidR="00152759" w:rsidRDefault="00152759" w:rsidP="00152759">
      <w:pPr>
        <w:pStyle w:val="NormalWeb"/>
        <w:shd w:val="clear" w:color="auto" w:fill="FFFFFF"/>
        <w:spacing w:before="0" w:beforeAutospacing="0" w:after="240" w:afterAutospacing="0"/>
        <w:ind w:left="993"/>
        <w:jc w:val="both"/>
        <w:rPr>
          <w:bCs/>
        </w:rPr>
      </w:pPr>
    </w:p>
    <w:p w:rsidR="00152759" w:rsidRPr="00152759" w:rsidRDefault="00152759" w:rsidP="00BE729F">
      <w:pPr>
        <w:pStyle w:val="NormalWeb"/>
        <w:shd w:val="clear" w:color="auto" w:fill="FFFFFF"/>
        <w:spacing w:before="0" w:beforeAutospacing="0" w:after="240" w:afterAutospacing="0"/>
        <w:ind w:firstLine="708"/>
        <w:jc w:val="both"/>
        <w:rPr>
          <w:bCs/>
        </w:rPr>
      </w:pPr>
      <w:r w:rsidRPr="00152759">
        <w:rPr>
          <w:bCs/>
        </w:rPr>
        <w:t>Makul gerekçelerin varlığı ve konuya ilişkin talebin tevsik edici bilgi ve belgelerle birlikte Kurulumuza iletilmesi halinde, aynı tür şemsiye fona bağlı olarak ikiden fazla fonun katılma paylarının ihracına izin verilmesi hususu başvuru bazında Kurul tarafından değerlendirilir</w:t>
      </w:r>
      <w:r>
        <w:rPr>
          <w:bCs/>
        </w:rPr>
        <w:t>.</w:t>
      </w:r>
    </w:p>
    <w:p w:rsidR="00B16042" w:rsidRDefault="00B16042" w:rsidP="00435994">
      <w:pPr>
        <w:pStyle w:val="Heading2"/>
        <w:spacing w:after="240"/>
      </w:pPr>
      <w:bookmarkStart w:id="81" w:name="_Toc130312532"/>
      <w:bookmarkStart w:id="82" w:name="_Toc130312664"/>
      <w:r>
        <w:rPr>
          <w:rFonts w:eastAsia="Times New Roman" w:cs="Times New Roman"/>
          <w:bCs/>
          <w:szCs w:val="24"/>
          <w:lang w:eastAsia="tr-TR"/>
        </w:rPr>
        <w:t>1.3</w:t>
      </w:r>
      <w:r w:rsidRPr="00651199">
        <w:rPr>
          <w:rFonts w:eastAsia="Times New Roman" w:cs="Times New Roman"/>
          <w:bCs/>
          <w:szCs w:val="24"/>
          <w:lang w:eastAsia="tr-TR"/>
        </w:rPr>
        <w:t xml:space="preserve">. </w:t>
      </w:r>
      <w:r>
        <w:t>(Ek:</w:t>
      </w:r>
      <w:r w:rsidRPr="009D307D">
        <w:t xml:space="preserve"> </w:t>
      </w:r>
      <w:r w:rsidRPr="00B16042">
        <w:t xml:space="preserve">27.01.2016 tarih ve 3/80 </w:t>
      </w:r>
      <w:r w:rsidRPr="004E78A3">
        <w:t xml:space="preserve">sayılı </w:t>
      </w:r>
      <w:r>
        <w:t xml:space="preserve">Kurul </w:t>
      </w:r>
      <w:r w:rsidRPr="009D307D">
        <w:t>Kararı</w:t>
      </w:r>
      <w:r>
        <w:t xml:space="preserve"> ile)</w:t>
      </w:r>
      <w:r w:rsidR="00457E82">
        <w:t xml:space="preserve"> (Değişiklik: 16.08.2018 tarih ve 38/964 sayılı Kurul Kararı ile) </w:t>
      </w:r>
      <w:r>
        <w:t xml:space="preserve"> </w:t>
      </w:r>
      <w:r w:rsidR="00457E82">
        <w:t>Katılma Payları Belirli Kişilere Tahsisli Satılan Fonlar</w:t>
      </w:r>
      <w:bookmarkEnd w:id="81"/>
      <w:bookmarkEnd w:id="82"/>
    </w:p>
    <w:p w:rsidR="00457E82" w:rsidRPr="00457E82" w:rsidRDefault="00457E82" w:rsidP="00B16042">
      <w:pPr>
        <w:spacing w:after="0" w:line="240" w:lineRule="auto"/>
        <w:ind w:firstLine="567"/>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A</w:t>
      </w:r>
      <w:r w:rsidRPr="00457E82">
        <w:rPr>
          <w:rFonts w:ascii="Times New Roman" w:eastAsia="Times New Roman" w:hAnsi="Times New Roman" w:cs="Times New Roman"/>
          <w:b/>
          <w:bCs/>
          <w:sz w:val="24"/>
          <w:szCs w:val="24"/>
          <w:lang w:eastAsia="tr-TR"/>
        </w:rPr>
        <w:t xml:space="preserve">) Çalışanlara Yönelik Özel Şemsiye Fonlar </w:t>
      </w:r>
    </w:p>
    <w:p w:rsidR="00457E82" w:rsidRDefault="00457E82" w:rsidP="00B16042">
      <w:pPr>
        <w:spacing w:after="0" w:line="240" w:lineRule="auto"/>
        <w:ind w:firstLine="567"/>
        <w:jc w:val="both"/>
        <w:rPr>
          <w:rFonts w:ascii="Times New Roman" w:eastAsia="Times New Roman" w:hAnsi="Times New Roman" w:cs="Times New Roman"/>
          <w:bCs/>
          <w:sz w:val="24"/>
          <w:szCs w:val="24"/>
          <w:lang w:eastAsia="tr-TR"/>
        </w:rPr>
      </w:pPr>
    </w:p>
    <w:p w:rsidR="00B16042" w:rsidRDefault="00B16042" w:rsidP="00B16042">
      <w:pPr>
        <w:spacing w:after="0" w:line="240" w:lineRule="auto"/>
        <w:ind w:firstLine="567"/>
        <w:jc w:val="both"/>
        <w:rPr>
          <w:rFonts w:ascii="Times New Roman" w:eastAsia="Times New Roman" w:hAnsi="Times New Roman" w:cs="Times New Roman"/>
          <w:bCs/>
          <w:sz w:val="24"/>
          <w:szCs w:val="24"/>
          <w:lang w:eastAsia="tr-TR"/>
        </w:rPr>
      </w:pPr>
      <w:r w:rsidRPr="00B16042">
        <w:rPr>
          <w:rFonts w:ascii="Times New Roman" w:eastAsia="Times New Roman" w:hAnsi="Times New Roman" w:cs="Times New Roman"/>
          <w:bCs/>
          <w:sz w:val="24"/>
          <w:szCs w:val="24"/>
          <w:lang w:eastAsia="tr-TR"/>
        </w:rPr>
        <w:t>Yatırım stratejisi temel olarak bir işverenin ihraç ettiği, borsada işlem gören veya borsaya kote ortaklık payları, borçlanma araçları ve/veya diğer sermaye piyasası araçlarına yatırım yapmak olan, performans, prim, ikramiye vb. uygulamalar için katılma payları bir işverenin bayi, acente ve/veya çalışanlarına tahsis edilmek üzere oluşturulan ve portföyü Fon Tebliği ile Rehber’de düzenlenen varlık ve işlemlerden oluşan özel fonları kapsayan şemsiye fonlar “Çalışanlara Yönelik Özel Şemsiye Fon” olarak adlandırılır.</w:t>
      </w:r>
    </w:p>
    <w:p w:rsidR="0072108E" w:rsidRPr="00B16042" w:rsidRDefault="0072108E" w:rsidP="00B16042">
      <w:pPr>
        <w:spacing w:after="0" w:line="240" w:lineRule="auto"/>
        <w:ind w:firstLine="567"/>
        <w:jc w:val="both"/>
        <w:rPr>
          <w:rFonts w:ascii="Times New Roman" w:eastAsia="Times New Roman" w:hAnsi="Times New Roman" w:cs="Times New Roman"/>
          <w:bCs/>
          <w:sz w:val="24"/>
          <w:szCs w:val="24"/>
          <w:lang w:eastAsia="tr-TR"/>
        </w:rPr>
      </w:pPr>
    </w:p>
    <w:p w:rsidR="00B16042" w:rsidRDefault="00B16042" w:rsidP="00B16042">
      <w:pPr>
        <w:spacing w:after="0" w:line="240" w:lineRule="auto"/>
        <w:ind w:firstLine="567"/>
        <w:jc w:val="both"/>
        <w:rPr>
          <w:rFonts w:ascii="Times New Roman" w:eastAsia="Times New Roman" w:hAnsi="Times New Roman" w:cs="Times New Roman"/>
          <w:bCs/>
          <w:sz w:val="24"/>
          <w:szCs w:val="24"/>
          <w:lang w:eastAsia="tr-TR"/>
        </w:rPr>
      </w:pPr>
      <w:r w:rsidRPr="00B16042">
        <w:rPr>
          <w:rFonts w:ascii="Times New Roman" w:eastAsia="Times New Roman" w:hAnsi="Times New Roman" w:cs="Times New Roman"/>
          <w:bCs/>
          <w:sz w:val="24"/>
          <w:szCs w:val="24"/>
          <w:lang w:eastAsia="tr-TR"/>
        </w:rPr>
        <w:t>Katılma payları söz konusu şemsiye fona bağlı olarak ihraç edilen fonlar için aşağıda yer alan esaslar uygulanır:</w:t>
      </w:r>
    </w:p>
    <w:p w:rsidR="0072108E" w:rsidRPr="00B16042" w:rsidRDefault="0072108E" w:rsidP="00B16042">
      <w:pPr>
        <w:spacing w:after="0" w:line="240" w:lineRule="auto"/>
        <w:ind w:firstLine="567"/>
        <w:jc w:val="both"/>
        <w:rPr>
          <w:rFonts w:ascii="Times New Roman" w:eastAsia="Times New Roman" w:hAnsi="Times New Roman" w:cs="Times New Roman"/>
          <w:bCs/>
          <w:sz w:val="24"/>
          <w:szCs w:val="24"/>
          <w:lang w:eastAsia="tr-TR"/>
        </w:rPr>
      </w:pPr>
    </w:p>
    <w:p w:rsidR="00B16042" w:rsidRPr="00B16042" w:rsidRDefault="00D0087E" w:rsidP="00B16042">
      <w:pPr>
        <w:spacing w:after="0" w:line="240" w:lineRule="auto"/>
        <w:ind w:firstLine="567"/>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1</w:t>
      </w:r>
      <w:r w:rsidR="00B16042" w:rsidRPr="00B16042">
        <w:rPr>
          <w:rFonts w:ascii="Times New Roman" w:eastAsia="Times New Roman" w:hAnsi="Times New Roman" w:cs="Times New Roman"/>
          <w:bCs/>
          <w:sz w:val="24"/>
          <w:szCs w:val="24"/>
          <w:lang w:eastAsia="tr-TR"/>
        </w:rPr>
        <w:t>) Fon unvanına ilişkin olarak;</w:t>
      </w:r>
    </w:p>
    <w:p w:rsidR="00B16042" w:rsidRPr="00B16042" w:rsidRDefault="00B16042" w:rsidP="00B16042">
      <w:pPr>
        <w:spacing w:after="0" w:line="240" w:lineRule="auto"/>
        <w:ind w:firstLine="567"/>
        <w:jc w:val="both"/>
        <w:rPr>
          <w:rFonts w:ascii="Times New Roman" w:eastAsia="Times New Roman" w:hAnsi="Times New Roman" w:cs="Times New Roman"/>
          <w:bCs/>
          <w:sz w:val="24"/>
          <w:szCs w:val="24"/>
          <w:lang w:eastAsia="tr-TR"/>
        </w:rPr>
      </w:pPr>
      <w:r w:rsidRPr="00B16042">
        <w:rPr>
          <w:rFonts w:ascii="Times New Roman" w:eastAsia="Times New Roman" w:hAnsi="Times New Roman" w:cs="Times New Roman"/>
          <w:bCs/>
          <w:sz w:val="24"/>
          <w:szCs w:val="24"/>
          <w:lang w:eastAsia="tr-TR"/>
        </w:rPr>
        <w:t>i. Fon yatırım stratejisi çerçevesinde fon toplam değerinin en az %80’inin devamlı olarak belirli bir varlık türüne (hisse senedi, borçlanma aracı vb.) yatırılması halinde fon unvanında söz konusu varlığa ilişkin ibarenin,</w:t>
      </w:r>
    </w:p>
    <w:p w:rsidR="00B16042" w:rsidRPr="00B16042" w:rsidRDefault="00B16042" w:rsidP="00B16042">
      <w:pPr>
        <w:spacing w:after="0" w:line="240" w:lineRule="auto"/>
        <w:ind w:firstLine="567"/>
        <w:jc w:val="both"/>
        <w:rPr>
          <w:rFonts w:ascii="Times New Roman" w:eastAsia="Times New Roman" w:hAnsi="Times New Roman" w:cs="Times New Roman"/>
          <w:bCs/>
          <w:sz w:val="24"/>
          <w:szCs w:val="24"/>
          <w:lang w:eastAsia="tr-TR"/>
        </w:rPr>
      </w:pPr>
      <w:r w:rsidRPr="00B16042">
        <w:rPr>
          <w:rFonts w:ascii="Times New Roman" w:eastAsia="Times New Roman" w:hAnsi="Times New Roman" w:cs="Times New Roman"/>
          <w:bCs/>
          <w:sz w:val="24"/>
          <w:szCs w:val="24"/>
          <w:lang w:eastAsia="tr-TR"/>
        </w:rPr>
        <w:t>ii. Fon Tebliği’nin 6. maddesinin birinci fıkrasının (c) bendinde yer alan şartların sağlanması kaydıyla “katılım” veya Rehber’in (1.1) nolu bölümünde yer alan şartların sağlanması kaydıyla “karma” ibaresinin,</w:t>
      </w:r>
    </w:p>
    <w:p w:rsidR="00B16042" w:rsidRPr="00B16042" w:rsidRDefault="00B16042" w:rsidP="00B16042">
      <w:pPr>
        <w:spacing w:after="0" w:line="240" w:lineRule="auto"/>
        <w:ind w:firstLine="567"/>
        <w:jc w:val="both"/>
        <w:rPr>
          <w:rFonts w:ascii="Times New Roman" w:eastAsia="Times New Roman" w:hAnsi="Times New Roman" w:cs="Times New Roman"/>
          <w:bCs/>
          <w:sz w:val="24"/>
          <w:szCs w:val="24"/>
          <w:lang w:eastAsia="tr-TR"/>
        </w:rPr>
      </w:pPr>
      <w:r w:rsidRPr="00B16042">
        <w:rPr>
          <w:rFonts w:ascii="Times New Roman" w:eastAsia="Times New Roman" w:hAnsi="Times New Roman" w:cs="Times New Roman"/>
          <w:bCs/>
          <w:sz w:val="24"/>
          <w:szCs w:val="24"/>
          <w:lang w:eastAsia="tr-TR"/>
        </w:rPr>
        <w:t>iii. (i) ve (ii) bentlerinde belirtilen haller dışında, fon unvanında “değişken” ibaresinin,</w:t>
      </w:r>
    </w:p>
    <w:p w:rsidR="00B16042" w:rsidRPr="00B16042" w:rsidRDefault="00B16042" w:rsidP="00B16042">
      <w:pPr>
        <w:spacing w:after="0" w:line="240" w:lineRule="auto"/>
        <w:ind w:firstLine="567"/>
        <w:jc w:val="both"/>
        <w:rPr>
          <w:rFonts w:ascii="Times New Roman" w:eastAsia="Times New Roman" w:hAnsi="Times New Roman" w:cs="Times New Roman"/>
          <w:bCs/>
          <w:sz w:val="24"/>
          <w:szCs w:val="24"/>
          <w:lang w:eastAsia="tr-TR"/>
        </w:rPr>
      </w:pPr>
      <w:r w:rsidRPr="00B16042">
        <w:rPr>
          <w:rFonts w:ascii="Times New Roman" w:eastAsia="Times New Roman" w:hAnsi="Times New Roman" w:cs="Times New Roman"/>
          <w:bCs/>
          <w:sz w:val="24"/>
          <w:szCs w:val="24"/>
          <w:lang w:eastAsia="tr-TR"/>
        </w:rPr>
        <w:t>iv. Fon unvanında işvereni tanıtıcı bir ibarenin belirtilerek “….Çalışanlarına Yönelik” ibaresi ile “Özel” ibaresinin,</w:t>
      </w:r>
    </w:p>
    <w:p w:rsidR="00B16042" w:rsidRPr="00B16042" w:rsidRDefault="00B16042" w:rsidP="00B16042">
      <w:pPr>
        <w:spacing w:after="0" w:line="240" w:lineRule="auto"/>
        <w:ind w:firstLine="567"/>
        <w:jc w:val="both"/>
        <w:rPr>
          <w:rFonts w:ascii="Times New Roman" w:eastAsia="Times New Roman" w:hAnsi="Times New Roman" w:cs="Times New Roman"/>
          <w:bCs/>
          <w:sz w:val="24"/>
          <w:szCs w:val="24"/>
          <w:lang w:eastAsia="tr-TR"/>
        </w:rPr>
      </w:pPr>
      <w:r w:rsidRPr="00B16042">
        <w:rPr>
          <w:rFonts w:ascii="Times New Roman" w:eastAsia="Times New Roman" w:hAnsi="Times New Roman" w:cs="Times New Roman"/>
          <w:bCs/>
          <w:sz w:val="24"/>
          <w:szCs w:val="24"/>
          <w:lang w:eastAsia="tr-TR"/>
        </w:rPr>
        <w:t>v. Fon katılma paylarının işverenin bayi ve acentelerine de tahsis edilmesi halinde fon unvanında söz konusu hususa ilişkin bir ibarenin</w:t>
      </w:r>
    </w:p>
    <w:p w:rsidR="00B16042" w:rsidRPr="00B16042" w:rsidRDefault="00B16042" w:rsidP="00B16042">
      <w:pPr>
        <w:spacing w:after="0" w:line="240" w:lineRule="auto"/>
        <w:ind w:firstLine="567"/>
        <w:jc w:val="both"/>
        <w:rPr>
          <w:rFonts w:ascii="Times New Roman" w:eastAsia="Times New Roman" w:hAnsi="Times New Roman" w:cs="Times New Roman"/>
          <w:bCs/>
          <w:sz w:val="24"/>
          <w:szCs w:val="24"/>
          <w:lang w:eastAsia="tr-TR"/>
        </w:rPr>
      </w:pPr>
      <w:r w:rsidRPr="00B16042">
        <w:rPr>
          <w:rFonts w:ascii="Times New Roman" w:eastAsia="Times New Roman" w:hAnsi="Times New Roman" w:cs="Times New Roman"/>
          <w:bCs/>
          <w:sz w:val="24"/>
          <w:szCs w:val="24"/>
          <w:lang w:eastAsia="tr-TR"/>
        </w:rPr>
        <w:t>yer alması zorunludur.</w:t>
      </w:r>
    </w:p>
    <w:p w:rsidR="00B16042" w:rsidRPr="00B16042" w:rsidRDefault="00B16042" w:rsidP="00B16042">
      <w:pPr>
        <w:spacing w:after="0" w:line="240" w:lineRule="auto"/>
        <w:ind w:firstLine="567"/>
        <w:jc w:val="both"/>
        <w:rPr>
          <w:rFonts w:ascii="Times New Roman" w:eastAsia="Times New Roman" w:hAnsi="Times New Roman" w:cs="Times New Roman"/>
          <w:bCs/>
          <w:sz w:val="24"/>
          <w:szCs w:val="24"/>
          <w:lang w:eastAsia="tr-TR"/>
        </w:rPr>
      </w:pPr>
      <w:r w:rsidRPr="00B16042">
        <w:rPr>
          <w:rFonts w:ascii="Times New Roman" w:eastAsia="Times New Roman" w:hAnsi="Times New Roman" w:cs="Times New Roman"/>
          <w:bCs/>
          <w:sz w:val="24"/>
          <w:szCs w:val="24"/>
          <w:lang w:eastAsia="tr-TR"/>
        </w:rPr>
        <w:t>Örnek 1: ABC A.Ş. Çalışanlarına Yönelik Değişken Özel Fon</w:t>
      </w:r>
    </w:p>
    <w:p w:rsidR="00B16042" w:rsidRDefault="00B16042" w:rsidP="00B16042">
      <w:pPr>
        <w:spacing w:after="0" w:line="240" w:lineRule="auto"/>
        <w:ind w:firstLine="567"/>
        <w:jc w:val="both"/>
        <w:rPr>
          <w:rFonts w:ascii="Times New Roman" w:eastAsia="Times New Roman" w:hAnsi="Times New Roman" w:cs="Times New Roman"/>
          <w:bCs/>
          <w:sz w:val="24"/>
          <w:szCs w:val="24"/>
          <w:lang w:eastAsia="tr-TR"/>
        </w:rPr>
      </w:pPr>
      <w:r w:rsidRPr="00B16042">
        <w:rPr>
          <w:rFonts w:ascii="Times New Roman" w:eastAsia="Times New Roman" w:hAnsi="Times New Roman" w:cs="Times New Roman"/>
          <w:bCs/>
          <w:sz w:val="24"/>
          <w:szCs w:val="24"/>
          <w:lang w:eastAsia="tr-TR"/>
        </w:rPr>
        <w:t>Örnek 2: XYZ Grubu Çalışanlarına Yönelik Karma Özel Fon</w:t>
      </w:r>
    </w:p>
    <w:p w:rsidR="00B16042" w:rsidRPr="00B16042" w:rsidRDefault="00B16042" w:rsidP="00B16042">
      <w:pPr>
        <w:spacing w:after="0" w:line="240" w:lineRule="auto"/>
        <w:ind w:firstLine="567"/>
        <w:jc w:val="both"/>
        <w:rPr>
          <w:rFonts w:ascii="Times New Roman" w:eastAsia="Times New Roman" w:hAnsi="Times New Roman" w:cs="Times New Roman"/>
          <w:bCs/>
          <w:sz w:val="24"/>
          <w:szCs w:val="24"/>
          <w:lang w:eastAsia="tr-TR"/>
        </w:rPr>
      </w:pPr>
    </w:p>
    <w:p w:rsidR="00B16042" w:rsidRDefault="00D0087E" w:rsidP="00B16042">
      <w:pPr>
        <w:spacing w:after="0" w:line="240" w:lineRule="auto"/>
        <w:ind w:firstLine="567"/>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2</w:t>
      </w:r>
      <w:r w:rsidR="00B16042" w:rsidRPr="00B16042">
        <w:rPr>
          <w:rFonts w:ascii="Times New Roman" w:eastAsia="Times New Roman" w:hAnsi="Times New Roman" w:cs="Times New Roman"/>
          <w:bCs/>
          <w:sz w:val="24"/>
          <w:szCs w:val="24"/>
          <w:lang w:eastAsia="tr-TR"/>
        </w:rPr>
        <w:t>) Rehber’in (3) nolu bölümü kapsamında fon türlerine ilişkin kontrollerde bu bölümün birinci fıkrası çerçevesinde fon unvanında varlık türüne ilişkin olarak yer verilen ibareler esas alınır. Örneğin, fon unvanında “borçlanma aracı” ibaresinin yer alması halinde bu Rehber’in (3) nolu bölümünde borçlanma araçları şemsiye fonuna bağlı fonlara ilişkin olarak yer alan esaslar dikkate alınır.</w:t>
      </w:r>
    </w:p>
    <w:p w:rsidR="00B16042" w:rsidRPr="00B16042" w:rsidRDefault="00B16042" w:rsidP="00B16042">
      <w:pPr>
        <w:spacing w:after="0" w:line="240" w:lineRule="auto"/>
        <w:ind w:firstLine="567"/>
        <w:jc w:val="both"/>
        <w:rPr>
          <w:rFonts w:ascii="Times New Roman" w:eastAsia="Times New Roman" w:hAnsi="Times New Roman" w:cs="Times New Roman"/>
          <w:bCs/>
          <w:sz w:val="24"/>
          <w:szCs w:val="24"/>
          <w:lang w:eastAsia="tr-TR"/>
        </w:rPr>
      </w:pPr>
    </w:p>
    <w:p w:rsidR="00B16042" w:rsidRDefault="00D0087E" w:rsidP="00B16042">
      <w:pPr>
        <w:spacing w:after="0" w:line="240" w:lineRule="auto"/>
        <w:ind w:firstLine="567"/>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3</w:t>
      </w:r>
      <w:r w:rsidR="00B16042" w:rsidRPr="00B16042">
        <w:rPr>
          <w:rFonts w:ascii="Times New Roman" w:eastAsia="Times New Roman" w:hAnsi="Times New Roman" w:cs="Times New Roman"/>
          <w:bCs/>
          <w:sz w:val="24"/>
          <w:szCs w:val="24"/>
          <w:lang w:eastAsia="tr-TR"/>
        </w:rPr>
        <w:t>) Fon yatırım stratejisi çerçevesinde işveren tarafından ihraç edilen ortaklık payları, borçlanma araçları ve/veya diğer sermaye piyasası araçlarına yapılan yatırımlar Fon Tebliği’nin 17. maddesinin birinci fıkrasının (a), (b), (c) bentleri ile aynı maddenin ikinci ve üçüncü fıkraları kapsamında değerlendirilmez.</w:t>
      </w:r>
    </w:p>
    <w:p w:rsidR="00B16042" w:rsidRPr="00B16042" w:rsidRDefault="00B16042" w:rsidP="00B16042">
      <w:pPr>
        <w:spacing w:after="0" w:line="240" w:lineRule="auto"/>
        <w:ind w:firstLine="567"/>
        <w:jc w:val="both"/>
        <w:rPr>
          <w:rFonts w:ascii="Times New Roman" w:eastAsia="Times New Roman" w:hAnsi="Times New Roman" w:cs="Times New Roman"/>
          <w:bCs/>
          <w:sz w:val="24"/>
          <w:szCs w:val="24"/>
          <w:lang w:eastAsia="tr-TR"/>
        </w:rPr>
      </w:pPr>
    </w:p>
    <w:p w:rsidR="00B16042" w:rsidRDefault="00D0087E" w:rsidP="00B16042">
      <w:pPr>
        <w:spacing w:after="0" w:line="240" w:lineRule="auto"/>
        <w:ind w:firstLine="567"/>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4</w:t>
      </w:r>
      <w:r w:rsidR="00B16042" w:rsidRPr="00B16042">
        <w:rPr>
          <w:rFonts w:ascii="Times New Roman" w:eastAsia="Times New Roman" w:hAnsi="Times New Roman" w:cs="Times New Roman"/>
          <w:bCs/>
          <w:sz w:val="24"/>
          <w:szCs w:val="24"/>
          <w:lang w:eastAsia="tr-TR"/>
        </w:rPr>
        <w:t>) Söz konusu fonlar için eşik değer veya karşılaştırma ölçütü belirlenebilir.</w:t>
      </w:r>
    </w:p>
    <w:p w:rsidR="00B16042" w:rsidRPr="00B16042" w:rsidRDefault="00B16042" w:rsidP="00B16042">
      <w:pPr>
        <w:spacing w:after="0" w:line="240" w:lineRule="auto"/>
        <w:ind w:firstLine="567"/>
        <w:jc w:val="both"/>
        <w:rPr>
          <w:rFonts w:ascii="Times New Roman" w:eastAsia="Times New Roman" w:hAnsi="Times New Roman" w:cs="Times New Roman"/>
          <w:bCs/>
          <w:sz w:val="24"/>
          <w:szCs w:val="24"/>
          <w:lang w:eastAsia="tr-TR"/>
        </w:rPr>
      </w:pPr>
    </w:p>
    <w:p w:rsidR="00B16042" w:rsidRDefault="00D0087E" w:rsidP="00B16042">
      <w:pPr>
        <w:spacing w:after="0" w:line="240" w:lineRule="auto"/>
        <w:ind w:firstLine="567"/>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5</w:t>
      </w:r>
      <w:r w:rsidR="00B16042" w:rsidRPr="00B16042">
        <w:rPr>
          <w:rFonts w:ascii="Times New Roman" w:eastAsia="Times New Roman" w:hAnsi="Times New Roman" w:cs="Times New Roman"/>
          <w:bCs/>
          <w:sz w:val="24"/>
          <w:szCs w:val="24"/>
          <w:lang w:eastAsia="tr-TR"/>
        </w:rPr>
        <w:t>) Söz konusu fonlar Fon Tebliği’nin Ek/4’ünde yer alan tabloda “diğer fonlar” için belirlenmiş olan azami fon toplam gider oranına ilişkin sınırlamalara tabidir.</w:t>
      </w:r>
    </w:p>
    <w:p w:rsidR="00B16042" w:rsidRPr="00B16042" w:rsidRDefault="00B16042" w:rsidP="00B16042">
      <w:pPr>
        <w:spacing w:after="0" w:line="240" w:lineRule="auto"/>
        <w:ind w:firstLine="567"/>
        <w:jc w:val="both"/>
        <w:rPr>
          <w:rFonts w:ascii="Times New Roman" w:eastAsia="Times New Roman" w:hAnsi="Times New Roman" w:cs="Times New Roman"/>
          <w:bCs/>
          <w:sz w:val="24"/>
          <w:szCs w:val="24"/>
          <w:lang w:eastAsia="tr-TR"/>
        </w:rPr>
      </w:pPr>
    </w:p>
    <w:p w:rsidR="00B16042" w:rsidRDefault="00D0087E" w:rsidP="00B16042">
      <w:pPr>
        <w:spacing w:after="0" w:line="240" w:lineRule="auto"/>
        <w:ind w:firstLine="567"/>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6)</w:t>
      </w:r>
      <w:r w:rsidR="00B16042" w:rsidRPr="00B16042">
        <w:rPr>
          <w:rFonts w:ascii="Times New Roman" w:eastAsia="Times New Roman" w:hAnsi="Times New Roman" w:cs="Times New Roman"/>
          <w:bCs/>
          <w:sz w:val="24"/>
          <w:szCs w:val="24"/>
          <w:lang w:eastAsia="tr-TR"/>
        </w:rPr>
        <w:t xml:space="preserve"> Fon Tebliği’nin 14. maddesinin dördüncü fıkrası ile 15. maddesinin ikinci fıkrası çerçevesinde söz konusu fonların katılma paylarının alımı-satımına ve fiyat açıklama dönemlerine ilişkin olarak fon izahnamesinde farklı esaslar belirlenmesi mümkündür.</w:t>
      </w:r>
    </w:p>
    <w:p w:rsidR="00B16042" w:rsidRPr="00B16042" w:rsidRDefault="00B16042" w:rsidP="00B16042">
      <w:pPr>
        <w:spacing w:after="0" w:line="240" w:lineRule="auto"/>
        <w:ind w:firstLine="567"/>
        <w:jc w:val="both"/>
        <w:rPr>
          <w:rFonts w:ascii="Times New Roman" w:eastAsia="Times New Roman" w:hAnsi="Times New Roman" w:cs="Times New Roman"/>
          <w:bCs/>
          <w:sz w:val="24"/>
          <w:szCs w:val="24"/>
          <w:lang w:eastAsia="tr-TR"/>
        </w:rPr>
      </w:pPr>
    </w:p>
    <w:p w:rsidR="00B16042" w:rsidRDefault="00D0087E" w:rsidP="00B16042">
      <w:pPr>
        <w:spacing w:after="0" w:line="240" w:lineRule="auto"/>
        <w:ind w:firstLine="567"/>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7</w:t>
      </w:r>
      <w:r w:rsidR="00B16042" w:rsidRPr="00B16042">
        <w:rPr>
          <w:rFonts w:ascii="Times New Roman" w:eastAsia="Times New Roman" w:hAnsi="Times New Roman" w:cs="Times New Roman"/>
          <w:bCs/>
          <w:sz w:val="24"/>
          <w:szCs w:val="24"/>
          <w:lang w:eastAsia="tr-TR"/>
        </w:rPr>
        <w:t>) Söz konusu fonların yatırımcısı olacak bayi, acente ve/veya çalışanların fona ilk giriş yapılmasından önce, fon kurucusu ve/veya işveren tarafından en uygun habe</w:t>
      </w:r>
      <w:r w:rsidR="00B16042">
        <w:rPr>
          <w:rFonts w:ascii="Times New Roman" w:eastAsia="Times New Roman" w:hAnsi="Times New Roman" w:cs="Times New Roman"/>
          <w:bCs/>
          <w:sz w:val="24"/>
          <w:szCs w:val="24"/>
          <w:lang w:eastAsia="tr-TR"/>
        </w:rPr>
        <w:t>rleşme vasıtasıyla bu bölümün (</w:t>
      </w:r>
      <w:r>
        <w:rPr>
          <w:rFonts w:ascii="Times New Roman" w:eastAsia="Times New Roman" w:hAnsi="Times New Roman" w:cs="Times New Roman"/>
          <w:bCs/>
          <w:sz w:val="24"/>
          <w:szCs w:val="24"/>
          <w:lang w:eastAsia="tr-TR"/>
        </w:rPr>
        <w:t>3</w:t>
      </w:r>
      <w:r w:rsidR="00B16042">
        <w:rPr>
          <w:rFonts w:ascii="Times New Roman" w:eastAsia="Times New Roman" w:hAnsi="Times New Roman" w:cs="Times New Roman"/>
          <w:bCs/>
          <w:sz w:val="24"/>
          <w:szCs w:val="24"/>
          <w:lang w:eastAsia="tr-TR"/>
        </w:rPr>
        <w:t>) ve (</w:t>
      </w:r>
      <w:r>
        <w:rPr>
          <w:rFonts w:ascii="Times New Roman" w:eastAsia="Times New Roman" w:hAnsi="Times New Roman" w:cs="Times New Roman"/>
          <w:bCs/>
          <w:sz w:val="24"/>
          <w:szCs w:val="24"/>
          <w:lang w:eastAsia="tr-TR"/>
        </w:rPr>
        <w:t>6</w:t>
      </w:r>
      <w:r w:rsidR="00B16042" w:rsidRPr="00B16042">
        <w:rPr>
          <w:rFonts w:ascii="Times New Roman" w:eastAsia="Times New Roman" w:hAnsi="Times New Roman" w:cs="Times New Roman"/>
          <w:bCs/>
          <w:sz w:val="24"/>
          <w:szCs w:val="24"/>
          <w:lang w:eastAsia="tr-TR"/>
        </w:rPr>
        <w:t>) nolu bentleri kapsamında belirlenen fona özgü esaslar hakkında bilgilendirilmesi zorunludur.</w:t>
      </w:r>
    </w:p>
    <w:p w:rsidR="0072108E" w:rsidRPr="00B16042" w:rsidRDefault="0072108E" w:rsidP="00B16042">
      <w:pPr>
        <w:spacing w:after="0" w:line="240" w:lineRule="auto"/>
        <w:ind w:firstLine="567"/>
        <w:jc w:val="both"/>
        <w:rPr>
          <w:rFonts w:ascii="Times New Roman" w:eastAsia="Times New Roman" w:hAnsi="Times New Roman" w:cs="Times New Roman"/>
          <w:bCs/>
          <w:sz w:val="24"/>
          <w:szCs w:val="24"/>
          <w:lang w:eastAsia="tr-TR"/>
        </w:rPr>
      </w:pPr>
    </w:p>
    <w:p w:rsidR="00B16042" w:rsidRDefault="00D0087E" w:rsidP="00B16042">
      <w:pPr>
        <w:spacing w:after="0" w:line="240" w:lineRule="auto"/>
        <w:ind w:firstLine="567"/>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8</w:t>
      </w:r>
      <w:r w:rsidR="00B16042" w:rsidRPr="00B16042">
        <w:rPr>
          <w:rFonts w:ascii="Times New Roman" w:eastAsia="Times New Roman" w:hAnsi="Times New Roman" w:cs="Times New Roman"/>
          <w:bCs/>
          <w:sz w:val="24"/>
          <w:szCs w:val="24"/>
          <w:lang w:eastAsia="tr-TR"/>
        </w:rPr>
        <w:t>) Söz konusu fonlar için bu bölümde hüküm bulunmayan konularda, Kurulun özel fonlara ilişkin düzenlemeleri saklı kalmak kaydıyla yatırım fonlarına ilişkin ilgili düzenlemelerine uyulur.</w:t>
      </w:r>
    </w:p>
    <w:p w:rsidR="0072108E" w:rsidRPr="00B16042" w:rsidRDefault="0072108E" w:rsidP="00B16042">
      <w:pPr>
        <w:spacing w:after="0" w:line="240" w:lineRule="auto"/>
        <w:ind w:firstLine="567"/>
        <w:jc w:val="both"/>
        <w:rPr>
          <w:rFonts w:ascii="Times New Roman" w:eastAsia="Times New Roman" w:hAnsi="Times New Roman" w:cs="Times New Roman"/>
          <w:bCs/>
          <w:sz w:val="24"/>
          <w:szCs w:val="24"/>
          <w:lang w:eastAsia="tr-TR"/>
        </w:rPr>
      </w:pPr>
    </w:p>
    <w:p w:rsidR="00B16042" w:rsidRPr="00B16042" w:rsidRDefault="00B16042" w:rsidP="00B16042">
      <w:pPr>
        <w:spacing w:after="0" w:line="240" w:lineRule="auto"/>
        <w:ind w:firstLine="567"/>
        <w:jc w:val="both"/>
        <w:rPr>
          <w:rFonts w:ascii="Times New Roman" w:eastAsia="Times New Roman" w:hAnsi="Times New Roman" w:cs="Times New Roman"/>
          <w:bCs/>
          <w:sz w:val="24"/>
          <w:szCs w:val="24"/>
          <w:lang w:eastAsia="tr-TR"/>
        </w:rPr>
      </w:pPr>
      <w:r w:rsidRPr="00B16042">
        <w:rPr>
          <w:rFonts w:ascii="Times New Roman" w:eastAsia="Times New Roman" w:hAnsi="Times New Roman" w:cs="Times New Roman"/>
          <w:bCs/>
          <w:sz w:val="24"/>
          <w:szCs w:val="24"/>
          <w:lang w:eastAsia="tr-TR"/>
        </w:rPr>
        <w:t>Fonun, Fon Tebliği’nin 6. maddesinin ikinci fıkrası uyarınca “hisse senedi yoğun fon” niteliği taşımasının öngörülmesi halinde ise, fon katılma payları, Fon Tebliği’nin 6. maddesinin birinci fıkrasının (a/2) bendinde tanımlanan “Hisse Senedi Şemsiye Fonu”na bağlı olarak ihraç edilir. Ancak bu durumda yukarıda yer verilen esaslar bu fonlar için de uygulanır.”</w:t>
      </w:r>
    </w:p>
    <w:p w:rsidR="00B16042" w:rsidRDefault="00B16042" w:rsidP="00B16042"/>
    <w:p w:rsidR="00457E82" w:rsidRPr="00604744" w:rsidRDefault="00457E82" w:rsidP="00457E82">
      <w:pPr>
        <w:spacing w:line="276" w:lineRule="auto"/>
        <w:ind w:firstLine="708"/>
        <w:jc w:val="both"/>
        <w:rPr>
          <w:rFonts w:ascii="Times New Roman" w:hAnsi="Times New Roman" w:cs="Times New Roman"/>
          <w:bCs/>
          <w:sz w:val="24"/>
          <w:szCs w:val="24"/>
        </w:rPr>
      </w:pPr>
      <w:r w:rsidRPr="00604744">
        <w:rPr>
          <w:rFonts w:ascii="Times New Roman" w:hAnsi="Times New Roman" w:cs="Times New Roman"/>
          <w:b/>
          <w:bCs/>
          <w:sz w:val="24"/>
          <w:szCs w:val="24"/>
        </w:rPr>
        <w:t>B) Özel Kanunlara Göre Kurulan ve Mesleki Emeklilik Fonu Niteliğini Haiz Tüzel Kişilerin Üyeleri ile Grup Çalışanlarına Yönelik Fonlar</w:t>
      </w:r>
    </w:p>
    <w:p w:rsidR="00457E82" w:rsidRPr="00604744" w:rsidRDefault="00457E82" w:rsidP="00457E82">
      <w:pPr>
        <w:spacing w:line="276" w:lineRule="auto"/>
        <w:ind w:firstLine="708"/>
        <w:jc w:val="both"/>
        <w:rPr>
          <w:rFonts w:ascii="Times New Roman" w:hAnsi="Times New Roman" w:cs="Times New Roman"/>
          <w:bCs/>
          <w:sz w:val="24"/>
          <w:szCs w:val="24"/>
        </w:rPr>
      </w:pPr>
      <w:r w:rsidRPr="00604744">
        <w:rPr>
          <w:rFonts w:ascii="Times New Roman" w:hAnsi="Times New Roman" w:cs="Times New Roman"/>
          <w:bCs/>
          <w:sz w:val="24"/>
          <w:szCs w:val="24"/>
        </w:rPr>
        <w:t>Yatırım stratejisi temel olarak, özel kanunlar ile kurulmuş ve tamamlayıcı mesleki emeklilik fonu niteliğini haiz tüzel kişilerin Kurulun finansal raporlama standartlarına ilişkin düzenlemeleri kapsamındaki grup şirketleri tarafından ihraç edilen borsada işlem gören ortaklık payları, borçlanma araçları ve/veya diğer sermaye piyasası araçlarına yatırım yapmak olan; katılma payları anılan tüzel kişilerin üye ve grup çalışanlarına tahsis edilen ve portföyü Fon Tebliği ile Rehber’de düzenlenen varlık ve işlemlerden oluşan özel fonlar ihraç edilebilir.</w:t>
      </w:r>
    </w:p>
    <w:p w:rsidR="00457E82" w:rsidRPr="00604744" w:rsidRDefault="00457E82" w:rsidP="00457E82">
      <w:pPr>
        <w:spacing w:line="276" w:lineRule="auto"/>
        <w:ind w:firstLine="708"/>
        <w:jc w:val="both"/>
        <w:rPr>
          <w:rFonts w:ascii="Times New Roman" w:hAnsi="Times New Roman" w:cs="Times New Roman"/>
          <w:bCs/>
          <w:sz w:val="24"/>
          <w:szCs w:val="24"/>
        </w:rPr>
      </w:pPr>
      <w:r w:rsidRPr="00604744">
        <w:rPr>
          <w:rFonts w:ascii="Times New Roman" w:hAnsi="Times New Roman" w:cs="Times New Roman"/>
          <w:bCs/>
          <w:sz w:val="24"/>
          <w:szCs w:val="24"/>
        </w:rPr>
        <w:t>Söz konusu fonlar için aşağıda yer alan esaslar uygulanır:</w:t>
      </w:r>
    </w:p>
    <w:p w:rsidR="00457E82" w:rsidRPr="00604744" w:rsidRDefault="00457E82" w:rsidP="00457E82">
      <w:pPr>
        <w:spacing w:line="276" w:lineRule="auto"/>
        <w:ind w:firstLine="708"/>
        <w:jc w:val="both"/>
        <w:rPr>
          <w:rFonts w:ascii="Times New Roman" w:hAnsi="Times New Roman" w:cs="Times New Roman"/>
          <w:bCs/>
          <w:sz w:val="24"/>
          <w:szCs w:val="24"/>
        </w:rPr>
      </w:pPr>
      <w:r w:rsidRPr="00604744">
        <w:rPr>
          <w:rFonts w:ascii="Times New Roman" w:hAnsi="Times New Roman" w:cs="Times New Roman"/>
          <w:bCs/>
          <w:sz w:val="24"/>
          <w:szCs w:val="24"/>
        </w:rPr>
        <w:t xml:space="preserve">1) Fon’un unvanı ve azami fon toplam gider oranı Fon yatırım stratejisine bağlı olarak Tebliğ ve Rehber’de yer alan esaslar çerçevesinde belirlenir. Fon katılma payları fonun türüne uygun şemsiye fona bağlı olarak ihraç edilir. </w:t>
      </w:r>
    </w:p>
    <w:p w:rsidR="00457E82" w:rsidRPr="00604744" w:rsidRDefault="00457E82" w:rsidP="00457E82">
      <w:pPr>
        <w:spacing w:line="276" w:lineRule="auto"/>
        <w:ind w:firstLine="708"/>
        <w:jc w:val="both"/>
        <w:rPr>
          <w:rFonts w:ascii="Times New Roman" w:hAnsi="Times New Roman" w:cs="Times New Roman"/>
          <w:bCs/>
          <w:sz w:val="24"/>
          <w:szCs w:val="24"/>
        </w:rPr>
      </w:pPr>
      <w:r w:rsidRPr="00604744">
        <w:rPr>
          <w:rFonts w:ascii="Times New Roman" w:hAnsi="Times New Roman" w:cs="Times New Roman"/>
          <w:bCs/>
          <w:sz w:val="24"/>
          <w:szCs w:val="24"/>
        </w:rPr>
        <w:t xml:space="preserve">2) Fon yatırım stratejisi çerçevesinde grup şirketleri tarafından ihraç edilen ortaklık payları, borçlanma araçları ve/veya diğer sermaye piyasası araçlarına yapılan yatırımlar Fon Tebliği’nin 17. maddesinin birinci, ikinci, üçüncü ve altıncı fıkraları kapsamında değerlendirilmez. </w:t>
      </w:r>
    </w:p>
    <w:p w:rsidR="00457E82" w:rsidRPr="00604744" w:rsidRDefault="00457E82" w:rsidP="00457E82">
      <w:pPr>
        <w:spacing w:line="276" w:lineRule="auto"/>
        <w:ind w:firstLine="708"/>
        <w:jc w:val="both"/>
        <w:rPr>
          <w:rFonts w:ascii="Times New Roman" w:hAnsi="Times New Roman" w:cs="Times New Roman"/>
          <w:bCs/>
          <w:sz w:val="24"/>
          <w:szCs w:val="24"/>
        </w:rPr>
      </w:pPr>
      <w:r w:rsidRPr="00604744">
        <w:rPr>
          <w:rFonts w:ascii="Times New Roman" w:hAnsi="Times New Roman" w:cs="Times New Roman"/>
          <w:bCs/>
          <w:sz w:val="24"/>
          <w:szCs w:val="24"/>
        </w:rPr>
        <w:t xml:space="preserve">3) Söz konusu fonlar tarafından, ilişkili tarafların ihracına aracılık ettiği grup şirketleri tarafından ihraç edilen özel sektör borçlanma araçlarına yapılan yatırımlar için işbu Rehber’in (4.1.6) nolu maddesinde fon bazında belirlenen %5 oranındaki yatırım sınırlaması uygulanmaz ve anılan yatırımlar, aynı maddede portföy yönetim şirketinin yöneticisi olduğu tüm yatırım fonları için belirlenen %10 oranındaki yatırım sınırlamasının hesaplanmasında dikkate alınmaz. </w:t>
      </w:r>
    </w:p>
    <w:p w:rsidR="00457E82" w:rsidRPr="00604744" w:rsidRDefault="00457E82" w:rsidP="00457E82">
      <w:pPr>
        <w:spacing w:line="276" w:lineRule="auto"/>
        <w:ind w:firstLine="708"/>
        <w:jc w:val="both"/>
        <w:rPr>
          <w:rFonts w:ascii="Times New Roman" w:hAnsi="Times New Roman" w:cs="Times New Roman"/>
          <w:bCs/>
          <w:sz w:val="24"/>
          <w:szCs w:val="24"/>
        </w:rPr>
      </w:pPr>
      <w:r w:rsidRPr="00604744">
        <w:rPr>
          <w:rFonts w:ascii="Times New Roman" w:hAnsi="Times New Roman" w:cs="Times New Roman"/>
          <w:bCs/>
          <w:sz w:val="24"/>
          <w:szCs w:val="24"/>
        </w:rPr>
        <w:t>4) Bu bölümün (2) ve (3) nolu bentleri uyarınca grup şirketleri tarafından ihraç edilen ortaklık payları, borçlanma araçları ve/veya diğer sermaye piyasası araçlarına yapılan yatırımlar için yoğunlaşma kurallarının uygulanmayacağı hususuna fon izahnamesi ve yatırımcı bilgi formunda açıkça yer verilir.</w:t>
      </w:r>
    </w:p>
    <w:p w:rsidR="00457E82" w:rsidRPr="00604744" w:rsidRDefault="00457E82" w:rsidP="00457E82">
      <w:pPr>
        <w:spacing w:line="276" w:lineRule="auto"/>
        <w:ind w:firstLine="708"/>
        <w:jc w:val="both"/>
        <w:rPr>
          <w:rFonts w:ascii="Times New Roman" w:hAnsi="Times New Roman" w:cs="Times New Roman"/>
          <w:bCs/>
          <w:sz w:val="24"/>
          <w:szCs w:val="24"/>
        </w:rPr>
      </w:pPr>
      <w:r w:rsidRPr="00604744">
        <w:rPr>
          <w:rFonts w:ascii="Times New Roman" w:hAnsi="Times New Roman" w:cs="Times New Roman"/>
          <w:bCs/>
          <w:sz w:val="24"/>
          <w:szCs w:val="24"/>
        </w:rPr>
        <w:t>5) Söz konusu fonlar için bu bölümde hüküm bulunmayan konularda</w:t>
      </w:r>
      <w:r w:rsidRPr="00604744">
        <w:rPr>
          <w:rFonts w:ascii="Times New Roman" w:hAnsi="Times New Roman" w:cs="Times New Roman"/>
          <w:color w:val="0070C0"/>
        </w:rPr>
        <w:t xml:space="preserve"> </w:t>
      </w:r>
      <w:r w:rsidRPr="00604744">
        <w:rPr>
          <w:rFonts w:ascii="Times New Roman" w:hAnsi="Times New Roman" w:cs="Times New Roman"/>
          <w:bCs/>
          <w:sz w:val="24"/>
          <w:szCs w:val="24"/>
        </w:rPr>
        <w:t>Kurul’un yatırım fonlarına ilişkin düzenlemelerine uyulur.</w:t>
      </w:r>
    </w:p>
    <w:p w:rsidR="00457E82" w:rsidRPr="00604744" w:rsidRDefault="00457E82" w:rsidP="00457E82">
      <w:pPr>
        <w:spacing w:line="276" w:lineRule="auto"/>
        <w:ind w:firstLine="708"/>
        <w:jc w:val="both"/>
        <w:rPr>
          <w:rFonts w:ascii="Times New Roman" w:hAnsi="Times New Roman" w:cs="Times New Roman"/>
          <w:bCs/>
          <w:sz w:val="24"/>
          <w:szCs w:val="24"/>
        </w:rPr>
      </w:pPr>
      <w:r w:rsidRPr="00604744">
        <w:rPr>
          <w:rFonts w:ascii="Times New Roman" w:hAnsi="Times New Roman" w:cs="Times New Roman"/>
          <w:bCs/>
          <w:sz w:val="24"/>
          <w:szCs w:val="24"/>
        </w:rPr>
        <w:t>6) Özel kanunlar ile kurulmuş ve tamamlayıcı mesleki emeklilik fonu niteliğini haiz yapılanmalardan yararlanan kişilere yönelik olarak bu madde kapsamında yapılan başvurularda katılma paylarının tahsisli olarak satılacağı yatırımcı kitlesi ile ilgili Kurulca farklı esaslar belirlenebilir.</w:t>
      </w:r>
    </w:p>
    <w:p w:rsidR="001E04D1" w:rsidRPr="001E04D1" w:rsidRDefault="001E04D1" w:rsidP="001E04D1">
      <w:pPr>
        <w:jc w:val="both"/>
        <w:rPr>
          <w:rFonts w:ascii="Times New Roman" w:hAnsi="Times New Roman" w:cs="Times New Roman"/>
          <w:b/>
          <w:sz w:val="24"/>
          <w:szCs w:val="24"/>
        </w:rPr>
      </w:pPr>
      <w:r>
        <w:rPr>
          <w:rFonts w:ascii="Times New Roman" w:hAnsi="Times New Roman" w:cs="Times New Roman"/>
          <w:sz w:val="24"/>
          <w:szCs w:val="24"/>
        </w:rPr>
        <w:tab/>
      </w:r>
      <w:r w:rsidRPr="001E04D1">
        <w:rPr>
          <w:rFonts w:ascii="Times New Roman" w:hAnsi="Times New Roman" w:cs="Times New Roman"/>
          <w:b/>
          <w:sz w:val="24"/>
          <w:szCs w:val="24"/>
        </w:rPr>
        <w:t xml:space="preserve">C) </w:t>
      </w:r>
      <w:r>
        <w:rPr>
          <w:rFonts w:ascii="Times New Roman" w:hAnsi="Times New Roman" w:cs="Times New Roman"/>
          <w:b/>
          <w:sz w:val="24"/>
          <w:szCs w:val="24"/>
        </w:rPr>
        <w:t>(Ek:10.09.2020 tarih ve 56/1125</w:t>
      </w:r>
      <w:r w:rsidRPr="001E04D1">
        <w:rPr>
          <w:rFonts w:ascii="Times New Roman" w:hAnsi="Times New Roman" w:cs="Times New Roman"/>
          <w:b/>
          <w:sz w:val="24"/>
          <w:szCs w:val="24"/>
        </w:rPr>
        <w:t xml:space="preserve"> sayılı Kurul Kararı ile)</w:t>
      </w:r>
      <w:r w:rsidR="00E937B5">
        <w:rPr>
          <w:rFonts w:ascii="Times New Roman" w:hAnsi="Times New Roman" w:cs="Times New Roman"/>
          <w:b/>
          <w:sz w:val="24"/>
          <w:szCs w:val="24"/>
        </w:rPr>
        <w:t xml:space="preserve">, </w:t>
      </w:r>
      <w:r w:rsidR="00E937B5" w:rsidRPr="00E937B5">
        <w:rPr>
          <w:rFonts w:ascii="Times New Roman" w:hAnsi="Times New Roman" w:cs="Times New Roman"/>
          <w:b/>
          <w:sz w:val="24"/>
          <w:szCs w:val="24"/>
        </w:rPr>
        <w:t xml:space="preserve">(Değişiklik: </w:t>
      </w:r>
      <w:r w:rsidR="00E937B5" w:rsidRPr="00E937B5">
        <w:rPr>
          <w:rFonts w:ascii="Times New Roman" w:hAnsi="Times New Roman" w:cs="Times New Roman"/>
          <w:b/>
          <w:bCs/>
          <w:sz w:val="24"/>
          <w:szCs w:val="24"/>
        </w:rPr>
        <w:t>29.09.2022 tarih ve 54/1446 sayılı Kurul Kararı ile</w:t>
      </w:r>
      <w:r w:rsidR="00E937B5" w:rsidRPr="00E937B5">
        <w:rPr>
          <w:rFonts w:ascii="Times New Roman" w:hAnsi="Times New Roman" w:cs="Times New Roman"/>
          <w:b/>
          <w:sz w:val="24"/>
          <w:szCs w:val="24"/>
        </w:rPr>
        <w:t>)</w:t>
      </w:r>
      <w:r w:rsidRPr="001E04D1">
        <w:rPr>
          <w:rFonts w:ascii="Times New Roman" w:hAnsi="Times New Roman" w:cs="Times New Roman"/>
          <w:b/>
          <w:sz w:val="24"/>
          <w:szCs w:val="24"/>
        </w:rPr>
        <w:t xml:space="preserve"> Katılma Payları Önceden Belirlenmiş Kişi veya Kuruluşlara Tahsis Edilmiş Olan Serbest Özel Fonlara İlişkin Özel Esaslar</w:t>
      </w:r>
    </w:p>
    <w:p w:rsidR="00457E82" w:rsidRDefault="001E04D1" w:rsidP="001E04D1">
      <w:pPr>
        <w:jc w:val="both"/>
        <w:rPr>
          <w:rFonts w:ascii="Times New Roman" w:hAnsi="Times New Roman" w:cs="Times New Roman"/>
          <w:sz w:val="24"/>
          <w:szCs w:val="24"/>
        </w:rPr>
      </w:pPr>
      <w:r>
        <w:rPr>
          <w:rFonts w:ascii="Times New Roman" w:hAnsi="Times New Roman" w:cs="Times New Roman"/>
          <w:sz w:val="24"/>
          <w:szCs w:val="24"/>
        </w:rPr>
        <w:tab/>
      </w:r>
      <w:r w:rsidRPr="001E04D1">
        <w:rPr>
          <w:rFonts w:ascii="Times New Roman" w:hAnsi="Times New Roman" w:cs="Times New Roman"/>
          <w:sz w:val="24"/>
          <w:szCs w:val="24"/>
        </w:rPr>
        <w:t xml:space="preserve"> Fon Tebliği’nin 23. maddesinin birinci fıkrasında düzenlenen katılma payları önceden belirlenmiş kişi veya kuruluşlara tahsis edilmiş olan serbest özel fon niteliğindeki yatırım fonlarının katılma paylarının ihracına ilişkin izahnamenin onaylanması başvurularının Kurul tarafından değerlendirilmeye alınabilmesi için, katılma paylarının tahsisli olarak satılacak nitelikli yatırımcılar tarafından başvuru konusu fona yönlendirilecek yatırım tutarın en az </w:t>
      </w:r>
      <w:r w:rsidR="00182D09">
        <w:rPr>
          <w:rFonts w:ascii="Times New Roman" w:hAnsi="Times New Roman" w:cs="Times New Roman"/>
          <w:sz w:val="24"/>
          <w:szCs w:val="24"/>
        </w:rPr>
        <w:t>20</w:t>
      </w:r>
      <w:r w:rsidRPr="001E04D1">
        <w:rPr>
          <w:rFonts w:ascii="Times New Roman" w:hAnsi="Times New Roman" w:cs="Times New Roman"/>
          <w:sz w:val="24"/>
          <w:szCs w:val="24"/>
        </w:rPr>
        <w:t xml:space="preserve">0.000.000 TL olacağına ilişkin kurucu beyanının Kurula iletilmesi zorunludur. Fon katılma paylarının </w:t>
      </w:r>
      <w:r w:rsidR="00182D09" w:rsidRPr="00182D09">
        <w:rPr>
          <w:rFonts w:ascii="Times New Roman" w:hAnsi="Times New Roman" w:cs="Times New Roman"/>
          <w:sz w:val="24"/>
          <w:szCs w:val="24"/>
        </w:rPr>
        <w:t>ihracına ilişkin Kurulca onaylı izahnamenin KAP'ta yayımlandığı</w:t>
      </w:r>
      <w:r w:rsidR="00182D09">
        <w:rPr>
          <w:rFonts w:ascii="Times New Roman" w:hAnsi="Times New Roman" w:cs="Times New Roman"/>
          <w:sz w:val="24"/>
          <w:szCs w:val="24"/>
        </w:rPr>
        <w:t xml:space="preserve"> </w:t>
      </w:r>
      <w:r w:rsidRPr="001E04D1">
        <w:rPr>
          <w:rFonts w:ascii="Times New Roman" w:hAnsi="Times New Roman" w:cs="Times New Roman"/>
          <w:sz w:val="24"/>
          <w:szCs w:val="24"/>
        </w:rPr>
        <w:t xml:space="preserve">tarihten itibaren 30 iş günü içerisinde yatırıma yönlendirilen tutarın </w:t>
      </w:r>
      <w:r w:rsidR="00E937B5">
        <w:rPr>
          <w:rFonts w:ascii="Times New Roman" w:hAnsi="Times New Roman" w:cs="Times New Roman"/>
          <w:sz w:val="24"/>
          <w:szCs w:val="24"/>
        </w:rPr>
        <w:t>20</w:t>
      </w:r>
      <w:r w:rsidRPr="001E04D1">
        <w:rPr>
          <w:rFonts w:ascii="Times New Roman" w:hAnsi="Times New Roman" w:cs="Times New Roman"/>
          <w:sz w:val="24"/>
          <w:szCs w:val="24"/>
        </w:rPr>
        <w:t xml:space="preserve">0.000.000 TL’ye ulaştığını tevsik edici bilgi ve belgelerin Kurul’a iletilmesi gerekmektedir. Söz konusu tarihten itibaren 30 iş günü içerisinde en az </w:t>
      </w:r>
      <w:r w:rsidR="00E937B5">
        <w:rPr>
          <w:rFonts w:ascii="Times New Roman" w:hAnsi="Times New Roman" w:cs="Times New Roman"/>
          <w:sz w:val="24"/>
          <w:szCs w:val="24"/>
        </w:rPr>
        <w:t>20</w:t>
      </w:r>
      <w:r w:rsidRPr="001E04D1">
        <w:rPr>
          <w:rFonts w:ascii="Times New Roman" w:hAnsi="Times New Roman" w:cs="Times New Roman"/>
          <w:sz w:val="24"/>
          <w:szCs w:val="24"/>
        </w:rPr>
        <w:t xml:space="preserve">0.000.000 TL’lik tutarın yatırıma yönlendirilmemiş olması durumunda, </w:t>
      </w:r>
      <w:r w:rsidR="00E937B5" w:rsidRPr="00E937B5">
        <w:rPr>
          <w:rFonts w:ascii="Times New Roman" w:hAnsi="Times New Roman" w:cs="Times New Roman"/>
          <w:sz w:val="24"/>
          <w:szCs w:val="24"/>
        </w:rPr>
        <w:t>portföy saklayıcısı tarafından konuya ilişkin olarak Kurul'a bilgi verilmesi,</w:t>
      </w:r>
      <w:r w:rsidR="00E937B5">
        <w:rPr>
          <w:rFonts w:ascii="Times New Roman" w:hAnsi="Times New Roman" w:cs="Times New Roman"/>
          <w:sz w:val="24"/>
          <w:szCs w:val="24"/>
        </w:rPr>
        <w:t xml:space="preserve"> </w:t>
      </w:r>
      <w:r w:rsidRPr="001E04D1">
        <w:rPr>
          <w:rFonts w:ascii="Times New Roman" w:hAnsi="Times New Roman" w:cs="Times New Roman"/>
          <w:sz w:val="24"/>
          <w:szCs w:val="24"/>
        </w:rPr>
        <w:t>fonun dönüşümüne, başka bir fon ile birleştirilmesine veya tasfiye edilmesine izin verilmesi talebiyle 30 iş günlük sürenin bitimini takip eden 6 iş günü içerisinde Kurul’a başvurulması gerekmektedir.</w:t>
      </w:r>
    </w:p>
    <w:p w:rsidR="00E937B5" w:rsidRPr="001E04D1" w:rsidRDefault="00E937B5" w:rsidP="00E937B5">
      <w:pPr>
        <w:ind w:firstLine="708"/>
        <w:jc w:val="both"/>
        <w:rPr>
          <w:rFonts w:ascii="Times New Roman" w:hAnsi="Times New Roman" w:cs="Times New Roman"/>
          <w:sz w:val="24"/>
          <w:szCs w:val="24"/>
        </w:rPr>
      </w:pPr>
      <w:r w:rsidRPr="00E937B5">
        <w:rPr>
          <w:rFonts w:ascii="Times New Roman" w:hAnsi="Times New Roman" w:cs="Times New Roman"/>
          <w:sz w:val="24"/>
          <w:szCs w:val="24"/>
        </w:rPr>
        <w:t>Bu tür fonlar tarafından yatırıma yönlendirilmesi gereken asgari tutar her yıl Kurulca yeniden</w:t>
      </w:r>
      <w:r>
        <w:rPr>
          <w:rFonts w:ascii="Times New Roman" w:hAnsi="Times New Roman" w:cs="Times New Roman"/>
          <w:sz w:val="24"/>
          <w:szCs w:val="24"/>
        </w:rPr>
        <w:t xml:space="preserve"> </w:t>
      </w:r>
      <w:r w:rsidRPr="00E937B5">
        <w:rPr>
          <w:rFonts w:ascii="Times New Roman" w:hAnsi="Times New Roman" w:cs="Times New Roman"/>
          <w:sz w:val="24"/>
          <w:szCs w:val="24"/>
        </w:rPr>
        <w:t>belirlenebilir.</w:t>
      </w:r>
    </w:p>
    <w:p w:rsidR="00435994" w:rsidRPr="00074321" w:rsidRDefault="00B16042" w:rsidP="00435994">
      <w:pPr>
        <w:pStyle w:val="Heading2"/>
        <w:spacing w:after="240"/>
        <w:rPr>
          <w:rFonts w:eastAsia="Times New Roman" w:cs="Times New Roman"/>
          <w:bCs/>
          <w:szCs w:val="24"/>
          <w:lang w:eastAsia="tr-TR"/>
        </w:rPr>
      </w:pPr>
      <w:bookmarkStart w:id="83" w:name="_Toc130312533"/>
      <w:bookmarkStart w:id="84" w:name="_Toc130312665"/>
      <w:r>
        <w:rPr>
          <w:rFonts w:eastAsia="Times New Roman" w:cs="Times New Roman"/>
          <w:bCs/>
          <w:szCs w:val="24"/>
          <w:lang w:eastAsia="tr-TR"/>
        </w:rPr>
        <w:t>1.4</w:t>
      </w:r>
      <w:r w:rsidR="00435994" w:rsidRPr="00074321">
        <w:rPr>
          <w:rFonts w:eastAsia="Times New Roman" w:cs="Times New Roman"/>
          <w:bCs/>
          <w:szCs w:val="24"/>
          <w:lang w:eastAsia="tr-TR"/>
        </w:rPr>
        <w:t xml:space="preserve">. </w:t>
      </w:r>
      <w:r w:rsidR="00435994" w:rsidRPr="009168AA">
        <w:t xml:space="preserve">(Ek: </w:t>
      </w:r>
      <w:r w:rsidR="009168AA" w:rsidRPr="009168AA">
        <w:t>23.05.2016 tarih ve 17/573 sayılı Kurul Kararı ile)</w:t>
      </w:r>
      <w:r w:rsidR="009168AA">
        <w:t xml:space="preserve"> </w:t>
      </w:r>
      <w:r w:rsidR="00435994" w:rsidRPr="00074321">
        <w:rPr>
          <w:rFonts w:eastAsia="Times New Roman" w:cs="Times New Roman"/>
          <w:bCs/>
          <w:szCs w:val="24"/>
          <w:lang w:eastAsia="tr-TR"/>
        </w:rPr>
        <w:t>Endeks Fonlar</w:t>
      </w:r>
      <w:bookmarkEnd w:id="83"/>
      <w:bookmarkEnd w:id="84"/>
      <w:r w:rsidR="00435994" w:rsidRPr="00074321">
        <w:rPr>
          <w:rFonts w:eastAsia="Times New Roman" w:cs="Times New Roman"/>
          <w:bCs/>
          <w:szCs w:val="24"/>
          <w:lang w:eastAsia="tr-TR"/>
        </w:rPr>
        <w:t xml:space="preserve">  </w:t>
      </w:r>
    </w:p>
    <w:p w:rsidR="00435994" w:rsidRPr="00074321" w:rsidRDefault="00435994" w:rsidP="00435994">
      <w:pPr>
        <w:spacing w:after="0" w:line="240" w:lineRule="auto"/>
        <w:ind w:firstLine="567"/>
        <w:jc w:val="both"/>
        <w:rPr>
          <w:rFonts w:ascii="Times New Roman" w:eastAsia="Times New Roman" w:hAnsi="Times New Roman" w:cs="Times New Roman"/>
          <w:bCs/>
          <w:sz w:val="24"/>
          <w:szCs w:val="24"/>
          <w:lang w:eastAsia="tr-TR"/>
        </w:rPr>
      </w:pPr>
      <w:r w:rsidRPr="00074321">
        <w:rPr>
          <w:rFonts w:ascii="Times New Roman" w:eastAsia="Times New Roman" w:hAnsi="Times New Roman" w:cs="Times New Roman"/>
          <w:bCs/>
          <w:sz w:val="24"/>
          <w:szCs w:val="24"/>
          <w:lang w:eastAsia="tr-TR"/>
        </w:rPr>
        <w:t>Fon Tebliği’nin 7. maddesinin üçüncü fıkrası uyarınca unvanında “Endeks” ibaresi kullanan fonların</w:t>
      </w:r>
      <w:r>
        <w:rPr>
          <w:rFonts w:ascii="Times New Roman" w:eastAsia="Times New Roman" w:hAnsi="Times New Roman" w:cs="Times New Roman"/>
          <w:bCs/>
          <w:sz w:val="24"/>
          <w:szCs w:val="24"/>
          <w:lang w:eastAsia="tr-TR"/>
        </w:rPr>
        <w:t>,</w:t>
      </w:r>
    </w:p>
    <w:p w:rsidR="00435994" w:rsidRPr="00074321" w:rsidRDefault="00435994" w:rsidP="00435994">
      <w:pPr>
        <w:spacing w:after="0" w:line="240" w:lineRule="auto"/>
        <w:ind w:firstLine="567"/>
        <w:jc w:val="both"/>
        <w:rPr>
          <w:rFonts w:ascii="Times New Roman" w:eastAsia="Times New Roman" w:hAnsi="Times New Roman" w:cs="Times New Roman"/>
          <w:bCs/>
          <w:sz w:val="24"/>
          <w:szCs w:val="24"/>
          <w:lang w:eastAsia="tr-TR"/>
        </w:rPr>
      </w:pPr>
      <w:r w:rsidRPr="00074321">
        <w:rPr>
          <w:rFonts w:ascii="Times New Roman" w:eastAsia="Times New Roman" w:hAnsi="Times New Roman" w:cs="Times New Roman"/>
          <w:bCs/>
          <w:sz w:val="24"/>
          <w:szCs w:val="24"/>
          <w:lang w:eastAsia="tr-TR"/>
        </w:rPr>
        <w:t>a) Takip ettiği ihraççı paylarından oluşan endeksin ve bu endeksi takip eden fon portföyünün en az altı ihraççı payından oluşması ve endekste/fon portföyünde yer alan ihraççı paylarından her birinin endeks/fon toplam değeri içindeki ağırlığının %30’u geçmemesi,</w:t>
      </w:r>
    </w:p>
    <w:p w:rsidR="00435994" w:rsidRPr="00074321" w:rsidRDefault="00435994" w:rsidP="00435994">
      <w:pPr>
        <w:spacing w:after="0" w:line="240" w:lineRule="auto"/>
        <w:ind w:firstLine="567"/>
        <w:jc w:val="both"/>
        <w:rPr>
          <w:rFonts w:ascii="Times New Roman" w:eastAsia="Times New Roman" w:hAnsi="Times New Roman" w:cs="Times New Roman"/>
          <w:bCs/>
          <w:sz w:val="24"/>
          <w:szCs w:val="24"/>
          <w:lang w:eastAsia="tr-TR"/>
        </w:rPr>
      </w:pPr>
      <w:r w:rsidRPr="00074321">
        <w:rPr>
          <w:rFonts w:ascii="Times New Roman" w:eastAsia="Times New Roman" w:hAnsi="Times New Roman" w:cs="Times New Roman"/>
          <w:bCs/>
          <w:sz w:val="24"/>
          <w:szCs w:val="24"/>
          <w:lang w:eastAsia="tr-TR"/>
        </w:rPr>
        <w:t>b) Takip ettiği kamu borçlanma araçları veya özel sektör borçlanma araçlarından oluşan endekste ve bu endeksi takip eden fon portföyünde yer alan borçlanma araçlarından her birinin endeks/fon portföy değeri içindeki ağırlığının %35'i geçmemesi,</w:t>
      </w:r>
    </w:p>
    <w:p w:rsidR="00435994" w:rsidRPr="00074321" w:rsidRDefault="00435994" w:rsidP="00435994">
      <w:pPr>
        <w:spacing w:after="0" w:line="240" w:lineRule="auto"/>
        <w:ind w:firstLine="567"/>
        <w:jc w:val="both"/>
        <w:rPr>
          <w:rFonts w:ascii="Times New Roman" w:eastAsia="Times New Roman" w:hAnsi="Times New Roman" w:cs="Times New Roman"/>
          <w:bCs/>
          <w:sz w:val="24"/>
          <w:szCs w:val="24"/>
          <w:lang w:eastAsia="tr-TR"/>
        </w:rPr>
      </w:pPr>
      <w:r w:rsidRPr="00074321">
        <w:rPr>
          <w:rFonts w:ascii="Times New Roman" w:eastAsia="Times New Roman" w:hAnsi="Times New Roman" w:cs="Times New Roman"/>
          <w:bCs/>
          <w:sz w:val="24"/>
          <w:szCs w:val="24"/>
          <w:lang w:eastAsia="tr-TR"/>
        </w:rPr>
        <w:t>c) Takip ettiği gayrimenkul sertifikalarından veya özel sektör kira sertifikalarından oluşan endeksi ve bu endeksi takip eden fon portföyünün en az dört gayrimenkul sertifikasından veya özel sektör kira sertifikasından oluşması ve endekste/fon portföyünde yer alan gayrimenkul sertifikalarından veya özel sektör kira sertifikalarından her birinin endeks/ fon portföy değeri içindeki ağırlığının %35'i geçmemesi</w:t>
      </w:r>
    </w:p>
    <w:p w:rsidR="00435994" w:rsidRPr="00074321" w:rsidRDefault="00435994" w:rsidP="00435994">
      <w:pPr>
        <w:spacing w:after="0" w:line="240" w:lineRule="auto"/>
        <w:ind w:firstLine="567"/>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gerekmektedir.</w:t>
      </w:r>
    </w:p>
    <w:p w:rsidR="00427C1D" w:rsidRDefault="00427C1D" w:rsidP="00427C1D">
      <w:pPr>
        <w:pStyle w:val="BodyText2"/>
        <w:spacing w:line="240" w:lineRule="auto"/>
        <w:jc w:val="both"/>
        <w:rPr>
          <w:rFonts w:ascii="Times New Roman" w:eastAsia="Times New Roman" w:hAnsi="Times New Roman" w:cs="Times New Roman"/>
          <w:bCs/>
          <w:sz w:val="24"/>
          <w:szCs w:val="24"/>
          <w:lang w:eastAsia="tr-TR"/>
        </w:rPr>
      </w:pPr>
    </w:p>
    <w:p w:rsidR="00071DD1" w:rsidRPr="00071DD1" w:rsidRDefault="00071DD1" w:rsidP="00071DD1">
      <w:pPr>
        <w:pStyle w:val="Heading2"/>
        <w:spacing w:after="240"/>
        <w:rPr>
          <w:rFonts w:eastAsia="Times New Roman" w:cs="Times New Roman"/>
          <w:bCs/>
          <w:szCs w:val="24"/>
          <w:lang w:eastAsia="tr-TR"/>
        </w:rPr>
      </w:pPr>
      <w:bookmarkStart w:id="85" w:name="_Toc130312534"/>
      <w:bookmarkStart w:id="86" w:name="_Toc130312666"/>
      <w:r w:rsidRPr="00071DD1">
        <w:rPr>
          <w:rFonts w:eastAsia="Times New Roman" w:cs="Times New Roman"/>
          <w:bCs/>
          <w:szCs w:val="24"/>
          <w:lang w:eastAsia="tr-TR"/>
        </w:rPr>
        <w:t>1.5. (Ek: 09.05.2017 tarih ve 20/688 sayılı Kurul Kararı ile) Para Piyasası Katılım Fonu ve Kısa Vadeli Kira Sertifikaları Katılım Fonu</w:t>
      </w:r>
      <w:bookmarkEnd w:id="85"/>
      <w:bookmarkEnd w:id="86"/>
    </w:p>
    <w:p w:rsidR="00071DD1" w:rsidRDefault="00071DD1" w:rsidP="007E124F">
      <w:pPr>
        <w:autoSpaceDE w:val="0"/>
        <w:autoSpaceDN w:val="0"/>
        <w:ind w:firstLine="708"/>
        <w:jc w:val="both"/>
        <w:rPr>
          <w:rFonts w:ascii="Times New Roman" w:hAnsi="Times New Roman" w:cs="Times New Roman"/>
          <w:sz w:val="24"/>
          <w:szCs w:val="24"/>
        </w:rPr>
      </w:pPr>
      <w:r w:rsidRPr="00071DD1">
        <w:rPr>
          <w:rFonts w:ascii="Times New Roman" w:hAnsi="Times New Roman" w:cs="Times New Roman"/>
          <w:sz w:val="24"/>
          <w:szCs w:val="24"/>
        </w:rPr>
        <w:t>Fon Tebliği’nin 6. maddesinin birinci fıkrasının (c) bendinde tanımlanan “Katılım Şemsiye Fonu”na bağlı olarak “para piyasası katılım fonu” ve “kısa vadeli kira sertifikaları katılım fonu” ihraç edilebilir. Para piyasası fonları ile kısa vadeli borçlanma araçları</w:t>
      </w:r>
      <w:r w:rsidR="007E124F">
        <w:rPr>
          <w:rFonts w:ascii="Times New Roman" w:hAnsi="Times New Roman" w:cs="Times New Roman"/>
          <w:sz w:val="24"/>
          <w:szCs w:val="24"/>
        </w:rPr>
        <w:t xml:space="preserve"> fonları</w:t>
      </w:r>
      <w:r w:rsidRPr="00071DD1">
        <w:rPr>
          <w:rFonts w:ascii="Times New Roman" w:hAnsi="Times New Roman" w:cs="Times New Roman"/>
          <w:sz w:val="24"/>
          <w:szCs w:val="24"/>
        </w:rPr>
        <w:t>na ilişkin olarak Fon Tebliği ve Rehber’de yer alan hükümler bu fonlar için de kıyasen uygulanır. Söz konusu fonlar, Fon Tebliği’nin Ek/4’ünde yer alan tabloda para piyasası fonları ile kısa vadeli borçlanma araçları fonları için belirlenmiş olan azami fon toplam gider oranına ilişkin sınırlamalara tabidir. Anılan fonlar tarafından fon portföyüne dahil edilen kira sertifikalarına ilişkin olarak Fon Tebliği’nin 24. maddesinin ikinci fıkrasında yer alan</w:t>
      </w:r>
      <w:r>
        <w:rPr>
          <w:rFonts w:ascii="Times New Roman" w:hAnsi="Times New Roman" w:cs="Times New Roman"/>
          <w:sz w:val="24"/>
          <w:szCs w:val="24"/>
        </w:rPr>
        <w:t xml:space="preserve"> </w:t>
      </w:r>
      <w:r w:rsidRPr="00071DD1">
        <w:rPr>
          <w:rFonts w:ascii="Times New Roman" w:hAnsi="Times New Roman" w:cs="Times New Roman"/>
          <w:sz w:val="24"/>
          <w:szCs w:val="24"/>
        </w:rPr>
        <w:t>derecelendirme şartı varsa kira sertifikaları; aksi takdirde kira sertifikalarının fon kullanıcıları için aranır.</w:t>
      </w:r>
      <w:r w:rsidR="007E124F">
        <w:rPr>
          <w:rFonts w:ascii="Times New Roman" w:hAnsi="Times New Roman" w:cs="Times New Roman"/>
          <w:sz w:val="24"/>
          <w:szCs w:val="24"/>
        </w:rPr>
        <w:t xml:space="preserve"> </w:t>
      </w:r>
      <w:r w:rsidR="007E124F" w:rsidRPr="007E124F">
        <w:rPr>
          <w:rFonts w:ascii="Times New Roman" w:hAnsi="Times New Roman" w:cs="Times New Roman"/>
          <w:sz w:val="24"/>
          <w:szCs w:val="24"/>
        </w:rPr>
        <w:t>Kira sertifikasının fon kullanıcısının, yönetim kontrolü</w:t>
      </w:r>
      <w:r w:rsidR="00541C5C">
        <w:rPr>
          <w:rStyle w:val="FootnoteReference"/>
          <w:rFonts w:ascii="Times New Roman" w:hAnsi="Times New Roman" w:cs="Times New Roman"/>
          <w:sz w:val="24"/>
          <w:szCs w:val="24"/>
        </w:rPr>
        <w:footnoteReference w:id="1"/>
      </w:r>
      <w:r w:rsidR="007E124F" w:rsidRPr="007E124F">
        <w:rPr>
          <w:rFonts w:ascii="Times New Roman" w:hAnsi="Times New Roman" w:cs="Times New Roman"/>
          <w:sz w:val="24"/>
          <w:szCs w:val="24"/>
        </w:rPr>
        <w:t xml:space="preserve"> kamu kurum ve kuruluşlarına ait</w:t>
      </w:r>
      <w:r w:rsidR="007E124F">
        <w:rPr>
          <w:rFonts w:ascii="Times New Roman" w:hAnsi="Times New Roman" w:cs="Times New Roman"/>
          <w:sz w:val="24"/>
          <w:szCs w:val="24"/>
        </w:rPr>
        <w:t xml:space="preserve"> </w:t>
      </w:r>
      <w:r w:rsidR="007E124F" w:rsidRPr="007E124F">
        <w:rPr>
          <w:rFonts w:ascii="Times New Roman" w:hAnsi="Times New Roman" w:cs="Times New Roman"/>
          <w:sz w:val="24"/>
          <w:szCs w:val="24"/>
        </w:rPr>
        <w:t>olan bir banka olması ve derecelendirme yapılabilmesi için gerekli olan şartların sağlanamaması halinde notun ilk defa alınmasına</w:t>
      </w:r>
      <w:r w:rsidR="007E124F">
        <w:rPr>
          <w:rFonts w:ascii="Times New Roman" w:hAnsi="Times New Roman" w:cs="Times New Roman"/>
          <w:sz w:val="24"/>
          <w:szCs w:val="24"/>
        </w:rPr>
        <w:t xml:space="preserve"> </w:t>
      </w:r>
      <w:r w:rsidR="007E124F" w:rsidRPr="007E124F">
        <w:rPr>
          <w:rFonts w:ascii="Times New Roman" w:hAnsi="Times New Roman" w:cs="Times New Roman"/>
          <w:sz w:val="24"/>
          <w:szCs w:val="24"/>
        </w:rPr>
        <w:t>kadar geçen sürede anılan banka için söz konusu derecelendirme şartı aranmaz</w:t>
      </w:r>
      <w:r w:rsidR="007E124F">
        <w:rPr>
          <w:rFonts w:ascii="Times New Roman" w:hAnsi="Times New Roman" w:cs="Times New Roman"/>
          <w:sz w:val="24"/>
          <w:szCs w:val="24"/>
        </w:rPr>
        <w:t>.</w:t>
      </w:r>
    </w:p>
    <w:p w:rsidR="00166B28" w:rsidRDefault="00166B28" w:rsidP="004552FF">
      <w:pPr>
        <w:autoSpaceDE w:val="0"/>
        <w:autoSpaceDN w:val="0"/>
        <w:jc w:val="both"/>
        <w:rPr>
          <w:rFonts w:ascii="Times New Roman" w:hAnsi="Times New Roman" w:cs="Times New Roman"/>
          <w:sz w:val="24"/>
          <w:szCs w:val="24"/>
        </w:rPr>
      </w:pPr>
    </w:p>
    <w:p w:rsidR="00166B28" w:rsidRDefault="00166B28" w:rsidP="00166B28">
      <w:pPr>
        <w:pStyle w:val="Heading2"/>
        <w:spacing w:after="240"/>
        <w:jc w:val="both"/>
      </w:pPr>
      <w:bookmarkStart w:id="87" w:name="_Toc130312535"/>
      <w:bookmarkStart w:id="88" w:name="_Toc130312667"/>
      <w:r>
        <w:rPr>
          <w:rFonts w:eastAsia="Times New Roman" w:cs="Times New Roman"/>
          <w:bCs/>
          <w:szCs w:val="24"/>
          <w:lang w:eastAsia="tr-TR"/>
        </w:rPr>
        <w:t>1.6</w:t>
      </w:r>
      <w:r w:rsidRPr="00071DD1">
        <w:rPr>
          <w:rFonts w:eastAsia="Times New Roman" w:cs="Times New Roman"/>
          <w:bCs/>
          <w:szCs w:val="24"/>
          <w:lang w:eastAsia="tr-TR"/>
        </w:rPr>
        <w:t xml:space="preserve">. </w:t>
      </w:r>
      <w:r>
        <w:t>(Ek: 24.09.2020 tarih ve 60/1183 sayılı Kurul Kararı ile) Unvanında Katılım İfadesi Geçen Fonlara İlişkin Esaslar</w:t>
      </w:r>
      <w:bookmarkEnd w:id="87"/>
      <w:bookmarkEnd w:id="88"/>
    </w:p>
    <w:p w:rsidR="00166B28" w:rsidRDefault="00166B28" w:rsidP="00166B28">
      <w:pPr>
        <w:spacing w:after="0"/>
        <w:ind w:firstLine="709"/>
        <w:jc w:val="both"/>
        <w:rPr>
          <w:rFonts w:ascii="Times New Roman" w:hAnsi="Times New Roman" w:cs="Times New Roman"/>
          <w:sz w:val="24"/>
          <w:szCs w:val="24"/>
        </w:rPr>
      </w:pPr>
      <w:r w:rsidRPr="00001AA5">
        <w:rPr>
          <w:rFonts w:ascii="Times New Roman" w:hAnsi="Times New Roman" w:cs="Times New Roman"/>
          <w:sz w:val="24"/>
          <w:szCs w:val="24"/>
        </w:rPr>
        <w:t xml:space="preserve">Unvanında katılım ifadesi geçen fonların portföylerine dahil edilecek ortaklık paylarının faizsiz/katılım finans ilkelerine uygunluğu onaylanmış olan endekslerde (örneğin Borsa İstanbul A.Ş. tarafından hesaplanan Katılım 30 Endeksi, Katılım 50 Endeksi ve Ziraat Portföy Katılım Endeksi) yer alan ortaklık paylarından seçilmesi ve/veya faizsiz/katılım finans ilkelerine uygunluğunun bir danışman/danışma kurulu tarafından onaylanmış olması zorunludur. </w:t>
      </w:r>
    </w:p>
    <w:p w:rsidR="00166B28" w:rsidRDefault="00166B28" w:rsidP="00166B28">
      <w:pPr>
        <w:spacing w:after="0"/>
        <w:ind w:firstLine="709"/>
        <w:jc w:val="both"/>
        <w:rPr>
          <w:rFonts w:ascii="Times New Roman" w:hAnsi="Times New Roman" w:cs="Times New Roman"/>
          <w:sz w:val="24"/>
          <w:szCs w:val="24"/>
        </w:rPr>
      </w:pPr>
      <w:r w:rsidRPr="00001AA5">
        <w:rPr>
          <w:rFonts w:ascii="Times New Roman" w:hAnsi="Times New Roman" w:cs="Times New Roman"/>
          <w:sz w:val="24"/>
          <w:szCs w:val="24"/>
        </w:rPr>
        <w:t xml:space="preserve">Unvanında katılım ifadesi geçen fonların portföylerine dahil edilecek kira sertifikaları, katılma hesapları, altın ve diğer kıymetli madenler ile vaad sözleşmeleri haricindeki para ve sermaye piyasası araçları için de söz konusu şartın sağlanması esastır. </w:t>
      </w:r>
    </w:p>
    <w:p w:rsidR="00166B28" w:rsidRDefault="00166B28" w:rsidP="00166B28">
      <w:pPr>
        <w:spacing w:after="0"/>
        <w:ind w:firstLine="709"/>
        <w:jc w:val="both"/>
        <w:rPr>
          <w:rFonts w:ascii="Times New Roman" w:hAnsi="Times New Roman" w:cs="Times New Roman"/>
          <w:sz w:val="24"/>
          <w:szCs w:val="24"/>
        </w:rPr>
      </w:pPr>
      <w:r w:rsidRPr="00001AA5">
        <w:rPr>
          <w:rFonts w:ascii="Times New Roman" w:hAnsi="Times New Roman" w:cs="Times New Roman"/>
          <w:sz w:val="24"/>
          <w:szCs w:val="24"/>
        </w:rPr>
        <w:t xml:space="preserve">Söz konusu fonlar için bir danışman/danışma kurulundan hizmet alınması halinde, fon izahnamesinin ekinde veya fonun KAP sayfasında danışmanın kim olduğuna/danışma kurulunun kimlerden oluştuğuna, danışmanın/danışma kurulu üyelerinin faizsiz/katılım finans alanındaki bilgi ve tecrübesine ilişkin bilgiler ile danışmanın/danışma kurulunun çalışma ilkelerine (örneğin faizsiz/katılım finans ilkelerine uygunluk değerlendirmesi yapılırken esas alınan yöntemlere ilişkin bilgiler) yer verilir. </w:t>
      </w:r>
    </w:p>
    <w:p w:rsidR="00166B28" w:rsidRDefault="00166B28" w:rsidP="00166B28">
      <w:pPr>
        <w:spacing w:after="0"/>
        <w:ind w:firstLine="709"/>
        <w:jc w:val="both"/>
        <w:rPr>
          <w:rFonts w:ascii="Times New Roman" w:hAnsi="Times New Roman" w:cs="Times New Roman"/>
          <w:sz w:val="24"/>
          <w:szCs w:val="24"/>
        </w:rPr>
      </w:pPr>
      <w:r w:rsidRPr="00001AA5">
        <w:rPr>
          <w:rFonts w:ascii="Times New Roman" w:hAnsi="Times New Roman" w:cs="Times New Roman"/>
          <w:sz w:val="24"/>
          <w:szCs w:val="24"/>
        </w:rPr>
        <w:t>Unvanında katılım ifadesi geçen fonların izahnamelerinde gerekli açıklamalara yer verilmesi suretiyle "kaldıraç yaratan işlem riski" yerine "katılım esaslı işlem riski" ifadesine yer verilmesi mümkündü</w:t>
      </w:r>
      <w:r>
        <w:rPr>
          <w:rFonts w:ascii="Times New Roman" w:hAnsi="Times New Roman" w:cs="Times New Roman"/>
          <w:sz w:val="24"/>
          <w:szCs w:val="24"/>
        </w:rPr>
        <w:t>r.</w:t>
      </w:r>
    </w:p>
    <w:p w:rsidR="00BF241E" w:rsidRDefault="00BF241E" w:rsidP="00BF241E">
      <w:pPr>
        <w:spacing w:after="0"/>
        <w:jc w:val="both"/>
        <w:rPr>
          <w:rFonts w:ascii="Times New Roman" w:hAnsi="Times New Roman" w:cs="Times New Roman"/>
          <w:sz w:val="24"/>
          <w:szCs w:val="24"/>
        </w:rPr>
      </w:pPr>
    </w:p>
    <w:p w:rsidR="00BF241E" w:rsidRPr="00852519" w:rsidRDefault="00BF241E" w:rsidP="00852519">
      <w:pPr>
        <w:pStyle w:val="Heading2"/>
        <w:spacing w:after="240"/>
        <w:jc w:val="both"/>
        <w:rPr>
          <w:rFonts w:eastAsia="Times New Roman" w:cs="Times New Roman"/>
          <w:bCs/>
          <w:szCs w:val="24"/>
          <w:lang w:eastAsia="tr-TR"/>
        </w:rPr>
      </w:pPr>
      <w:bookmarkStart w:id="89" w:name="_Toc130312536"/>
      <w:bookmarkStart w:id="90" w:name="_Toc130312668"/>
      <w:r w:rsidRPr="00852519">
        <w:rPr>
          <w:rFonts w:eastAsia="Times New Roman" w:cs="Times New Roman"/>
          <w:bCs/>
          <w:szCs w:val="24"/>
          <w:lang w:eastAsia="tr-TR"/>
        </w:rPr>
        <w:t xml:space="preserve">1.7. (Ek: 09.09.2021 tarih ve </w:t>
      </w:r>
      <w:r w:rsidR="007832C2" w:rsidRPr="00852519">
        <w:rPr>
          <w:rFonts w:eastAsia="Times New Roman" w:cs="Times New Roman"/>
          <w:bCs/>
          <w:szCs w:val="24"/>
          <w:lang w:eastAsia="tr-TR"/>
        </w:rPr>
        <w:t>46</w:t>
      </w:r>
      <w:r w:rsidRPr="00852519">
        <w:rPr>
          <w:rFonts w:eastAsia="Times New Roman" w:cs="Times New Roman"/>
          <w:bCs/>
          <w:szCs w:val="24"/>
          <w:lang w:eastAsia="tr-TR"/>
        </w:rPr>
        <w:t>/</w:t>
      </w:r>
      <w:r w:rsidR="007832C2" w:rsidRPr="00852519">
        <w:rPr>
          <w:rFonts w:eastAsia="Times New Roman" w:cs="Times New Roman"/>
          <w:bCs/>
          <w:szCs w:val="24"/>
          <w:lang w:eastAsia="tr-TR"/>
        </w:rPr>
        <w:t>1361</w:t>
      </w:r>
      <w:r w:rsidRPr="00852519">
        <w:rPr>
          <w:rFonts w:eastAsia="Times New Roman" w:cs="Times New Roman"/>
          <w:bCs/>
          <w:szCs w:val="24"/>
          <w:lang w:eastAsia="tr-TR"/>
        </w:rPr>
        <w:t xml:space="preserve"> sayılı Kurul Kararı ile)  Sorunlu Şirketler Serbest Özel Fona İlişkin Esaslar</w:t>
      </w:r>
      <w:bookmarkEnd w:id="89"/>
      <w:bookmarkEnd w:id="90"/>
      <w:r w:rsidRPr="00852519">
        <w:rPr>
          <w:rFonts w:eastAsia="Times New Roman" w:cs="Times New Roman"/>
          <w:bCs/>
          <w:szCs w:val="24"/>
          <w:lang w:eastAsia="tr-TR"/>
        </w:rPr>
        <w:t xml:space="preserve"> </w:t>
      </w:r>
    </w:p>
    <w:p w:rsidR="00852519" w:rsidRPr="005D73F6" w:rsidRDefault="00852519" w:rsidP="005D73F6">
      <w:pPr>
        <w:spacing w:after="0"/>
        <w:jc w:val="both"/>
        <w:rPr>
          <w:rFonts w:ascii="Times New Roman" w:hAnsi="Times New Roman" w:cs="Times New Roman"/>
          <w:b/>
          <w:sz w:val="24"/>
          <w:szCs w:val="24"/>
        </w:rPr>
      </w:pPr>
    </w:p>
    <w:p w:rsidR="005D73F6" w:rsidRPr="005D73F6" w:rsidRDefault="005D73F6" w:rsidP="005D73F6">
      <w:pPr>
        <w:spacing w:after="0"/>
        <w:ind w:firstLine="708"/>
        <w:jc w:val="both"/>
        <w:rPr>
          <w:rFonts w:ascii="Times New Roman" w:hAnsi="Times New Roman" w:cs="Times New Roman"/>
          <w:sz w:val="24"/>
          <w:szCs w:val="24"/>
        </w:rPr>
      </w:pPr>
      <w:r w:rsidRPr="005D73F6">
        <w:rPr>
          <w:rFonts w:ascii="Times New Roman" w:hAnsi="Times New Roman" w:cs="Times New Roman"/>
          <w:sz w:val="24"/>
          <w:szCs w:val="24"/>
        </w:rPr>
        <w:t>Bankacılık mevzuat hükümleri saklı kalmak kaydıyla, fon toplam değerinin en az %80’i devamlı olarak, Bankacılık Düzenleme ve Denetleme Kurulu tarafından yayımlanan 29/06/2021 tarihli ve 9644 sayılı Sorunlu Alacak Çözümleme Rehberi’nde tanımlanan sorunlu alacaklardan ve sorunlu alacakların tarafı olan borçlu şirketlerin ortaklık paylarından oluşan ve katılma payları nitelikli yatırımcı niteliğini haiz belirli kişilere tahsisli olarak satılan fonlar “Sorunlu Şirketler Serbest Özel Fon” olarak adlandırılır.</w:t>
      </w:r>
    </w:p>
    <w:p w:rsidR="005D73F6" w:rsidRPr="005D73F6" w:rsidRDefault="005D73F6" w:rsidP="005D73F6">
      <w:pPr>
        <w:spacing w:after="0"/>
        <w:ind w:firstLine="708"/>
        <w:jc w:val="both"/>
        <w:rPr>
          <w:rFonts w:ascii="Times New Roman" w:hAnsi="Times New Roman" w:cs="Times New Roman"/>
          <w:sz w:val="24"/>
          <w:szCs w:val="24"/>
        </w:rPr>
      </w:pPr>
      <w:r w:rsidRPr="005D73F6">
        <w:rPr>
          <w:rFonts w:ascii="Times New Roman" w:hAnsi="Times New Roman" w:cs="Times New Roman"/>
          <w:sz w:val="24"/>
          <w:szCs w:val="24"/>
        </w:rPr>
        <w:t>Söz konusu fonlar için aşağıda yer alan esaslar uygulanır:</w:t>
      </w:r>
    </w:p>
    <w:p w:rsidR="005D73F6" w:rsidRPr="005D73F6" w:rsidRDefault="005D73F6" w:rsidP="005D73F6">
      <w:pPr>
        <w:numPr>
          <w:ilvl w:val="0"/>
          <w:numId w:val="81"/>
        </w:numPr>
        <w:tabs>
          <w:tab w:val="left" w:pos="993"/>
        </w:tabs>
        <w:spacing w:after="0"/>
        <w:ind w:left="0" w:firstLine="709"/>
        <w:jc w:val="both"/>
        <w:rPr>
          <w:rFonts w:ascii="Times New Roman" w:hAnsi="Times New Roman" w:cs="Times New Roman"/>
          <w:sz w:val="24"/>
          <w:szCs w:val="24"/>
        </w:rPr>
      </w:pPr>
      <w:r w:rsidRPr="005D73F6">
        <w:rPr>
          <w:rFonts w:ascii="Times New Roman" w:hAnsi="Times New Roman" w:cs="Times New Roman"/>
          <w:sz w:val="24"/>
          <w:szCs w:val="24"/>
        </w:rPr>
        <w:t>Bu fonlar için portföyün, yukarıda yer verilen bankacılık mevzuatının kapsamına giren sorunlu alacaklardan ve sorunlu alacakları olan borçlu şirketlerin ortaklık paylarından oluşan kısmının yönetimi için kurucu portföy yönetim şirketi nezdinde en az 3 kişiden oluşan bir yatırım komitesi oluşturulur. Yatırım komitesinde genel müdür ile kredi işlemleri alanında en az 10 yıllık tecrübeye sahip bir yönetim kurulu üyesi ve kredi derecelendirme lisansına sahip kredi işlemleri alanında en az 5 yıl tecrübeli tam zamanlı ya da yarı zamanlı bir personelin bulunması zorunludur.</w:t>
      </w:r>
    </w:p>
    <w:p w:rsidR="005D73F6" w:rsidRPr="005D73F6" w:rsidRDefault="005D73F6" w:rsidP="005D73F6">
      <w:pPr>
        <w:numPr>
          <w:ilvl w:val="0"/>
          <w:numId w:val="81"/>
        </w:numPr>
        <w:tabs>
          <w:tab w:val="left" w:pos="993"/>
        </w:tabs>
        <w:spacing w:after="0"/>
        <w:ind w:left="0" w:firstLine="709"/>
        <w:jc w:val="both"/>
        <w:rPr>
          <w:rFonts w:ascii="Times New Roman" w:hAnsi="Times New Roman" w:cs="Times New Roman"/>
          <w:sz w:val="24"/>
          <w:szCs w:val="24"/>
        </w:rPr>
      </w:pPr>
      <w:r w:rsidRPr="005D73F6">
        <w:rPr>
          <w:rFonts w:ascii="Times New Roman" w:hAnsi="Times New Roman" w:cs="Times New Roman"/>
          <w:sz w:val="24"/>
          <w:szCs w:val="24"/>
        </w:rPr>
        <w:t>Bu fonların kurucusunun risk yönetim ve iç kontrol sisteminin PYŞ Tebliği’nde belirtilen hükümlerin yanı sıra söz konusu yatırımlara ilişkin esasları da içerecek şekilde oluşturulması zorunludur.</w:t>
      </w:r>
    </w:p>
    <w:p w:rsidR="005D73F6" w:rsidRPr="005D73F6" w:rsidRDefault="005D73F6" w:rsidP="005D73F6">
      <w:pPr>
        <w:numPr>
          <w:ilvl w:val="0"/>
          <w:numId w:val="81"/>
        </w:numPr>
        <w:tabs>
          <w:tab w:val="left" w:pos="993"/>
        </w:tabs>
        <w:spacing w:after="0"/>
        <w:ind w:left="0" w:firstLine="709"/>
        <w:jc w:val="both"/>
        <w:rPr>
          <w:rFonts w:ascii="Times New Roman" w:hAnsi="Times New Roman" w:cs="Times New Roman"/>
          <w:sz w:val="24"/>
          <w:szCs w:val="24"/>
        </w:rPr>
      </w:pPr>
      <w:r w:rsidRPr="005D73F6">
        <w:rPr>
          <w:rFonts w:ascii="Times New Roman" w:hAnsi="Times New Roman" w:cs="Times New Roman"/>
          <w:sz w:val="24"/>
          <w:szCs w:val="24"/>
        </w:rPr>
        <w:t>Bu fonların portföyünde yer alan varlıkların değerleme esaslarına ilişkin olarak, Kurulun yatırım fonlarının finansal raporlamalarına ilişkin düzenlemelerinde yer alan değerlemeye ilişkin esaslara uyulur. Şu kadar ki, bu fonlar tarafından yukarıda belirtilen alacak ve ortaklık paylarına yatırım yapılması öncesinde yatırımların değerlemesinin Kurul Karar Organı’nın 11.04.2019 tarih ve 21/500 sayılı kararında belirtilen şartları taşıyan en az iki kuruluş tarafından hazırlanan değerleme raporu ile yapılması zorunludur. Fon tarafından yatırım için en fazla söz konusu iki değerleme raporunda tespit edilen değerden düşük olanı kadar bedel ödenebilir. Takip eden dönemlerde söz konusu yatırımların değerinin asgari olarak hesap dönemi sonu itibarı ile yukarıda belirtilen şekilde tespit edilmesi gereklidir.</w:t>
      </w:r>
    </w:p>
    <w:p w:rsidR="005D73F6" w:rsidRPr="005D73F6" w:rsidRDefault="005D73F6" w:rsidP="005D73F6">
      <w:pPr>
        <w:numPr>
          <w:ilvl w:val="0"/>
          <w:numId w:val="81"/>
        </w:numPr>
        <w:tabs>
          <w:tab w:val="left" w:pos="993"/>
        </w:tabs>
        <w:spacing w:after="0"/>
        <w:ind w:left="0" w:firstLine="709"/>
        <w:jc w:val="both"/>
        <w:rPr>
          <w:rFonts w:ascii="Times New Roman" w:hAnsi="Times New Roman" w:cs="Times New Roman"/>
          <w:sz w:val="24"/>
          <w:szCs w:val="24"/>
        </w:rPr>
      </w:pPr>
      <w:r w:rsidRPr="005D73F6">
        <w:rPr>
          <w:rFonts w:ascii="Times New Roman" w:hAnsi="Times New Roman" w:cs="Times New Roman"/>
          <w:sz w:val="24"/>
          <w:szCs w:val="24"/>
        </w:rPr>
        <w:t>Bu fonların portföyünün saklanması ve fonun temsili ile ilgili olarak III-52.4 sayılı Girişim Sermayesi Yatırım Fonlarına İlişkin Esaslar Tebliği’nin 9. ve 10. maddeleri kıyasen uygulanır.</w:t>
      </w:r>
    </w:p>
    <w:p w:rsidR="005D73F6" w:rsidRPr="005D73F6" w:rsidRDefault="005D73F6" w:rsidP="005D73F6">
      <w:pPr>
        <w:numPr>
          <w:ilvl w:val="0"/>
          <w:numId w:val="81"/>
        </w:numPr>
        <w:tabs>
          <w:tab w:val="left" w:pos="993"/>
        </w:tabs>
        <w:spacing w:after="0"/>
        <w:ind w:left="0" w:firstLine="709"/>
        <w:jc w:val="both"/>
        <w:rPr>
          <w:rFonts w:ascii="Times New Roman" w:hAnsi="Times New Roman" w:cs="Times New Roman"/>
          <w:sz w:val="24"/>
          <w:szCs w:val="24"/>
        </w:rPr>
      </w:pPr>
      <w:r w:rsidRPr="005D73F6">
        <w:rPr>
          <w:rFonts w:ascii="Times New Roman" w:hAnsi="Times New Roman" w:cs="Times New Roman"/>
          <w:sz w:val="24"/>
          <w:szCs w:val="24"/>
        </w:rPr>
        <w:t>Bu fonların katılma payları kolektif yatırım kuruluşlarının ve emeklilik yatırım fonlarının portföylerine dahil edilemez.</w:t>
      </w:r>
    </w:p>
    <w:p w:rsidR="005D73F6" w:rsidRPr="005D73F6" w:rsidRDefault="005D73F6" w:rsidP="005D73F6">
      <w:pPr>
        <w:numPr>
          <w:ilvl w:val="0"/>
          <w:numId w:val="81"/>
        </w:numPr>
        <w:tabs>
          <w:tab w:val="left" w:pos="993"/>
        </w:tabs>
        <w:spacing w:after="0"/>
        <w:ind w:left="0" w:firstLine="709"/>
        <w:jc w:val="both"/>
        <w:rPr>
          <w:rFonts w:ascii="Times New Roman" w:hAnsi="Times New Roman" w:cs="Times New Roman"/>
          <w:sz w:val="24"/>
          <w:szCs w:val="24"/>
        </w:rPr>
      </w:pPr>
      <w:r w:rsidRPr="005D73F6">
        <w:rPr>
          <w:rFonts w:ascii="Times New Roman" w:hAnsi="Times New Roman" w:cs="Times New Roman"/>
          <w:sz w:val="24"/>
          <w:szCs w:val="24"/>
        </w:rPr>
        <w:t xml:space="preserve">Fon katılma paylarını satın alan yatırımcılardan, satış öncesinde fon tarafından yapılan yatırımların içerdiği risklerin okunup anlaşıldığına, yatırımların niteliği itibarıyla riskli olduğu ve bu işlemler sonucunda zarar edilebileceği hususlarında bilgi sahibi oldukları ve bunları kabul ettiklerine ilişkin yazılı beyanı alınır ve söz konusu beyanın bir örneği yatırımcıya verilir.  </w:t>
      </w:r>
    </w:p>
    <w:p w:rsidR="005D73F6" w:rsidRPr="005D73F6" w:rsidRDefault="005D73F6" w:rsidP="005D73F6">
      <w:pPr>
        <w:numPr>
          <w:ilvl w:val="0"/>
          <w:numId w:val="81"/>
        </w:numPr>
        <w:tabs>
          <w:tab w:val="left" w:pos="993"/>
        </w:tabs>
        <w:spacing w:after="0"/>
        <w:ind w:left="0" w:firstLine="709"/>
        <w:jc w:val="both"/>
        <w:rPr>
          <w:rFonts w:ascii="Times New Roman" w:hAnsi="Times New Roman" w:cs="Times New Roman"/>
          <w:sz w:val="24"/>
          <w:szCs w:val="24"/>
        </w:rPr>
      </w:pPr>
      <w:r w:rsidRPr="005D73F6">
        <w:rPr>
          <w:rFonts w:ascii="Times New Roman" w:hAnsi="Times New Roman" w:cs="Times New Roman"/>
          <w:sz w:val="24"/>
          <w:szCs w:val="24"/>
        </w:rPr>
        <w:t>Bu bölümde hüküm bulunmayan hallerde Fon Tebliği ile işbu Rehber’de yer alan serbest fonlara ve serbest özel fonlara ilişkin hükümler kıyasen uygulanır.</w:t>
      </w:r>
    </w:p>
    <w:p w:rsidR="00BF241E" w:rsidRPr="00001AA5" w:rsidRDefault="00BF241E" w:rsidP="00BF241E">
      <w:pPr>
        <w:spacing w:after="0"/>
        <w:jc w:val="both"/>
        <w:rPr>
          <w:rFonts w:ascii="Times New Roman" w:hAnsi="Times New Roman" w:cs="Times New Roman"/>
          <w:sz w:val="24"/>
          <w:szCs w:val="24"/>
        </w:rPr>
      </w:pPr>
    </w:p>
    <w:p w:rsidR="008D3539" w:rsidRPr="007E124F" w:rsidRDefault="008D3539" w:rsidP="00BA4E4A">
      <w:pPr>
        <w:autoSpaceDE w:val="0"/>
        <w:autoSpaceDN w:val="0"/>
        <w:jc w:val="both"/>
        <w:rPr>
          <w:rFonts w:ascii="Times New Roman" w:hAnsi="Times New Roman" w:cs="Times New Roman"/>
          <w:sz w:val="24"/>
          <w:szCs w:val="24"/>
        </w:rPr>
      </w:pPr>
    </w:p>
    <w:p w:rsidR="00427C1D" w:rsidRPr="00A56F15" w:rsidRDefault="00427C1D" w:rsidP="00427C1D">
      <w:pPr>
        <w:pStyle w:val="Heading1"/>
      </w:pPr>
      <w:bookmarkStart w:id="91" w:name="_Toc384052228"/>
      <w:bookmarkStart w:id="92" w:name="_Toc130312537"/>
      <w:bookmarkStart w:id="93" w:name="_Toc130312669"/>
      <w:r w:rsidRPr="00A56F15">
        <w:t>2. Fon Unvanı</w:t>
      </w:r>
      <w:bookmarkEnd w:id="91"/>
      <w:r w:rsidR="00D86610">
        <w:t>na İlişkin Esaslar</w:t>
      </w:r>
      <w:bookmarkEnd w:id="92"/>
      <w:bookmarkEnd w:id="93"/>
    </w:p>
    <w:p w:rsidR="00427C1D" w:rsidRDefault="00427C1D" w:rsidP="00427C1D">
      <w:pPr>
        <w:pStyle w:val="BodyText2"/>
        <w:spacing w:line="240" w:lineRule="auto"/>
        <w:jc w:val="both"/>
        <w:rPr>
          <w:rFonts w:ascii="Times New Roman" w:eastAsia="Times New Roman" w:hAnsi="Times New Roman" w:cs="Times New Roman"/>
          <w:bCs/>
          <w:sz w:val="24"/>
          <w:szCs w:val="24"/>
          <w:lang w:eastAsia="tr-TR"/>
        </w:rPr>
      </w:pPr>
    </w:p>
    <w:p w:rsidR="00427C1D" w:rsidRDefault="00427C1D" w:rsidP="00B9383D">
      <w:pPr>
        <w:pStyle w:val="NormalWeb"/>
        <w:shd w:val="clear" w:color="auto" w:fill="FFFFFF"/>
        <w:spacing w:before="0" w:beforeAutospacing="0" w:after="240" w:afterAutospacing="0"/>
        <w:ind w:firstLine="633"/>
        <w:jc w:val="both"/>
        <w:rPr>
          <w:bCs/>
        </w:rPr>
      </w:pPr>
      <w:r w:rsidRPr="0051763D">
        <w:rPr>
          <w:bCs/>
        </w:rPr>
        <w:t xml:space="preserve">Yatırım fonlarının unvanı </w:t>
      </w:r>
      <w:r>
        <w:rPr>
          <w:bCs/>
        </w:rPr>
        <w:t xml:space="preserve">Fon </w:t>
      </w:r>
      <w:r w:rsidRPr="0051763D">
        <w:rPr>
          <w:bCs/>
        </w:rPr>
        <w:t>Tebliğ</w:t>
      </w:r>
      <w:r>
        <w:rPr>
          <w:bCs/>
        </w:rPr>
        <w:t>i</w:t>
      </w:r>
      <w:r w:rsidRPr="0051763D">
        <w:rPr>
          <w:bCs/>
        </w:rPr>
        <w:t>’</w:t>
      </w:r>
      <w:r>
        <w:rPr>
          <w:bCs/>
        </w:rPr>
        <w:t>n</w:t>
      </w:r>
      <w:r w:rsidRPr="0051763D">
        <w:rPr>
          <w:bCs/>
        </w:rPr>
        <w:t xml:space="preserve">de </w:t>
      </w:r>
      <w:r>
        <w:rPr>
          <w:bCs/>
        </w:rPr>
        <w:t>ve aşağıda yer alan esaslar çerçevesinde belirlenir:</w:t>
      </w:r>
    </w:p>
    <w:p w:rsidR="00F562F0" w:rsidRPr="000100CE" w:rsidRDefault="00F562F0" w:rsidP="00B9383D">
      <w:pPr>
        <w:pStyle w:val="NormalWeb"/>
        <w:shd w:val="clear" w:color="auto" w:fill="FFFFFF"/>
        <w:spacing w:before="0" w:beforeAutospacing="0" w:after="240" w:afterAutospacing="0"/>
        <w:ind w:firstLine="633"/>
        <w:jc w:val="both"/>
        <w:rPr>
          <w:bCs/>
        </w:rPr>
      </w:pPr>
    </w:p>
    <w:p w:rsidR="00427C1D" w:rsidRDefault="00427C1D" w:rsidP="00F562F0">
      <w:pPr>
        <w:pStyle w:val="NormalWeb"/>
        <w:numPr>
          <w:ilvl w:val="0"/>
          <w:numId w:val="78"/>
        </w:numPr>
        <w:shd w:val="clear" w:color="auto" w:fill="FFFFFF"/>
        <w:spacing w:before="0" w:beforeAutospacing="0" w:after="240" w:afterAutospacing="0"/>
        <w:jc w:val="both"/>
        <w:rPr>
          <w:bCs/>
        </w:rPr>
      </w:pPr>
      <w:r>
        <w:rPr>
          <w:bCs/>
        </w:rPr>
        <w:t>i) Fon unvanında, asgari olarak,  Fon Tebliği ve bu Rehber uyarınca unvanda yer alması zorunlu olan ibareler</w:t>
      </w:r>
      <w:r w:rsidR="00D10A4D">
        <w:rPr>
          <w:bCs/>
        </w:rPr>
        <w:t xml:space="preserve">, </w:t>
      </w:r>
      <w:r>
        <w:rPr>
          <w:bCs/>
        </w:rPr>
        <w:t>fonun bağlı olduğu şemsiye fonun türünü gösterir ibare</w:t>
      </w:r>
      <w:r w:rsidR="00084898">
        <w:rPr>
          <w:bCs/>
        </w:rPr>
        <w:t xml:space="preserve"> ve Kurucunun unvanı</w:t>
      </w:r>
      <w:r w:rsidR="00084898">
        <w:rPr>
          <w:rStyle w:val="FootnoteReference"/>
          <w:bCs/>
        </w:rPr>
        <w:footnoteReference w:id="2"/>
      </w:r>
      <w:r>
        <w:rPr>
          <w:bCs/>
        </w:rPr>
        <w:t xml:space="preserve"> yer alır. </w:t>
      </w:r>
    </w:p>
    <w:p w:rsidR="00427C1D" w:rsidRDefault="00427C1D" w:rsidP="00B9383D">
      <w:pPr>
        <w:pStyle w:val="NormalWeb"/>
        <w:shd w:val="clear" w:color="auto" w:fill="FFFFFF"/>
        <w:spacing w:before="0" w:beforeAutospacing="0" w:after="240" w:afterAutospacing="0"/>
        <w:ind w:left="993"/>
        <w:jc w:val="both"/>
        <w:rPr>
          <w:bCs/>
        </w:rPr>
      </w:pPr>
      <w:r>
        <w:rPr>
          <w:bCs/>
        </w:rPr>
        <w:t xml:space="preserve">ii) Kıymetli madenler şemsiye fonuna bağlı fonlara ilişkin olarak; fon toplam değerinin en az %80’inin devamlı olarak </w:t>
      </w:r>
      <w:r w:rsidRPr="00651199">
        <w:rPr>
          <w:bCs/>
          <w:u w:val="single"/>
        </w:rPr>
        <w:t>belirli</w:t>
      </w:r>
      <w:r>
        <w:rPr>
          <w:bCs/>
        </w:rPr>
        <w:t xml:space="preserve"> bir </w:t>
      </w:r>
      <w:r w:rsidRPr="00176788">
        <w:rPr>
          <w:bCs/>
        </w:rPr>
        <w:t xml:space="preserve">kıymetli madene </w:t>
      </w:r>
      <w:r>
        <w:rPr>
          <w:bCs/>
        </w:rPr>
        <w:t xml:space="preserve">yatırılması halinde anılan fonların unvanındafon türüne ilişkin ibareye yer yerilmez. </w:t>
      </w:r>
    </w:p>
    <w:p w:rsidR="007D0864" w:rsidRPr="001F768A" w:rsidRDefault="00C45CA2" w:rsidP="00F562F0">
      <w:pPr>
        <w:pStyle w:val="NormalWeb"/>
        <w:numPr>
          <w:ilvl w:val="0"/>
          <w:numId w:val="78"/>
        </w:numPr>
        <w:shd w:val="clear" w:color="auto" w:fill="FFFFFF"/>
        <w:spacing w:before="0" w:beforeAutospacing="0" w:after="240" w:afterAutospacing="0"/>
        <w:jc w:val="both"/>
      </w:pPr>
      <w:r>
        <w:rPr>
          <w:b/>
        </w:rPr>
        <w:t>(Değişiklik: 21</w:t>
      </w:r>
      <w:r w:rsidRPr="00C45CA2">
        <w:rPr>
          <w:b/>
        </w:rPr>
        <w:t>.0</w:t>
      </w:r>
      <w:r>
        <w:rPr>
          <w:b/>
        </w:rPr>
        <w:t xml:space="preserve">3.2023 tarih ve </w:t>
      </w:r>
      <w:r w:rsidR="00A823F3" w:rsidRPr="00A823F3">
        <w:rPr>
          <w:b/>
        </w:rPr>
        <w:t>17/366</w:t>
      </w:r>
      <w:r w:rsidRPr="00C45CA2">
        <w:rPr>
          <w:b/>
        </w:rPr>
        <w:t xml:space="preserve"> sayılı Kurul Kararı ile)</w:t>
      </w:r>
      <w:r>
        <w:t xml:space="preserve"> </w:t>
      </w:r>
      <w:r w:rsidR="00427C1D">
        <w:rPr>
          <w:bCs/>
        </w:rPr>
        <w:t>(</w:t>
      </w:r>
      <w:r w:rsidR="00427C1D" w:rsidRPr="001B44C1">
        <w:rPr>
          <w:bCs/>
        </w:rPr>
        <w:t xml:space="preserve">a) bendinde belirlenen asgari ibarelere ilave olarak, en fazla bir ibareye daha fon unvanında yer verilebilir. </w:t>
      </w:r>
      <w:r w:rsidR="007D0864" w:rsidRPr="001B44C1">
        <w:t xml:space="preserve">Yatırımcıların daha </w:t>
      </w:r>
      <w:r w:rsidR="00CD3A7D">
        <w:t>doğru bir</w:t>
      </w:r>
      <w:r w:rsidR="007D0864" w:rsidRPr="001B44C1">
        <w:t xml:space="preserve"> şekilde bilgilendirilmelerini teminen Kurulca uygun görülmesi kaydıyla </w:t>
      </w:r>
      <w:r w:rsidR="001B44C1" w:rsidRPr="001B44C1">
        <w:t xml:space="preserve">bu </w:t>
      </w:r>
      <w:r w:rsidR="007D0864" w:rsidRPr="001B44C1">
        <w:t>şarta istisna getirilebilir.</w:t>
      </w:r>
      <w:r w:rsidR="00F24E21">
        <w:t xml:space="preserve"> Ancak hiçbir surette unvanda “gelecek, performans, getiri, küresel, büyüme, odak, global” gibi yatırım stratejisini yansıtmayan subjektif ifadelere yer verilemez.</w:t>
      </w:r>
    </w:p>
    <w:p w:rsidR="00427C1D" w:rsidRPr="00F620B5" w:rsidRDefault="00427C1D" w:rsidP="00F562F0">
      <w:pPr>
        <w:pStyle w:val="NormalWeb"/>
        <w:numPr>
          <w:ilvl w:val="0"/>
          <w:numId w:val="78"/>
        </w:numPr>
        <w:shd w:val="clear" w:color="auto" w:fill="FFFFFF"/>
        <w:spacing w:before="0" w:beforeAutospacing="0" w:after="240" w:afterAutospacing="0"/>
        <w:jc w:val="both"/>
        <w:rPr>
          <w:bCs/>
        </w:rPr>
      </w:pPr>
      <w:r w:rsidRPr="00F144F8">
        <w:rPr>
          <w:bCs/>
        </w:rPr>
        <w:t>Fon toplam değerinin en az %80’inin devamlı olarak belirli bir varlık grubuna, sektöre, coğrafi bölgelere vb. yatırılması halinde</w:t>
      </w:r>
      <w:r>
        <w:rPr>
          <w:bCs/>
        </w:rPr>
        <w:t xml:space="preserve"> söz konusu durum</w:t>
      </w:r>
      <w:r w:rsidRPr="00F144F8">
        <w:rPr>
          <w:bCs/>
        </w:rPr>
        <w:t xml:space="preserve"> fon unvanına yansıtılmalıdır. </w:t>
      </w:r>
      <w:r w:rsidR="00A81A74">
        <w:rPr>
          <w:bCs/>
        </w:rPr>
        <w:t xml:space="preserve">(b) bendi kapsamında </w:t>
      </w:r>
      <w:r>
        <w:rPr>
          <w:bCs/>
        </w:rPr>
        <w:t xml:space="preserve">bu durumu yansıtmak üzere </w:t>
      </w:r>
      <w:r w:rsidRPr="00F144F8">
        <w:rPr>
          <w:bCs/>
        </w:rPr>
        <w:t xml:space="preserve">yalnızca bir ibare kullanılabilir. </w:t>
      </w:r>
    </w:p>
    <w:p w:rsidR="00427C1D" w:rsidRDefault="00427C1D" w:rsidP="00B9383D">
      <w:pPr>
        <w:pStyle w:val="NormalWeb"/>
        <w:shd w:val="clear" w:color="auto" w:fill="FFFFFF"/>
        <w:spacing w:before="0" w:beforeAutospacing="0" w:after="240" w:afterAutospacing="0"/>
        <w:jc w:val="both"/>
        <w:rPr>
          <w:bCs/>
        </w:rPr>
      </w:pPr>
      <w:r>
        <w:rPr>
          <w:bCs/>
        </w:rPr>
        <w:tab/>
        <w:t>(a), (b) ve (c) bentlerinde yer alan ilkeler çerçevesinde belirlenebilecek fon unvanlarına ilişkin örnekler aşağıda yer almaktadır:</w:t>
      </w:r>
    </w:p>
    <w:p w:rsidR="00427C1D" w:rsidRDefault="00427C1D" w:rsidP="00B9383D">
      <w:pPr>
        <w:pStyle w:val="NormalWeb"/>
        <w:shd w:val="clear" w:color="auto" w:fill="FFFFFF"/>
        <w:spacing w:before="0" w:beforeAutospacing="0" w:after="240" w:afterAutospacing="0"/>
        <w:ind w:left="709"/>
        <w:jc w:val="both"/>
        <w:rPr>
          <w:bCs/>
        </w:rPr>
      </w:pPr>
      <w:r w:rsidRPr="006218B6">
        <w:rPr>
          <w:bCs/>
        </w:rPr>
        <w:t xml:space="preserve">Örnek 1: </w:t>
      </w:r>
      <w:r>
        <w:rPr>
          <w:bCs/>
        </w:rPr>
        <w:t xml:space="preserve">Fon toplam değerinin en az %80’inin devamlı olarak gümüşe yatırılması halinde fon unvanında “Kıymetli Madenler” ibaresine yer verilmeksizin unvan “Gümüş Fonu” olarak belirlenir. </w:t>
      </w:r>
    </w:p>
    <w:p w:rsidR="00427C1D" w:rsidRDefault="00427C1D" w:rsidP="00B9383D">
      <w:pPr>
        <w:pStyle w:val="NormalWeb"/>
        <w:shd w:val="clear" w:color="auto" w:fill="FFFFFF"/>
        <w:spacing w:before="0" w:beforeAutospacing="0" w:after="240" w:afterAutospacing="0"/>
        <w:ind w:left="709"/>
        <w:jc w:val="both"/>
        <w:rPr>
          <w:bCs/>
        </w:rPr>
      </w:pPr>
      <w:r>
        <w:rPr>
          <w:bCs/>
        </w:rPr>
        <w:t>Örnek 2:</w:t>
      </w:r>
      <w:r w:rsidR="00A6669D">
        <w:rPr>
          <w:bCs/>
        </w:rPr>
        <w:t xml:space="preserve"> </w:t>
      </w:r>
      <w:r>
        <w:rPr>
          <w:bCs/>
        </w:rPr>
        <w:t>F</w:t>
      </w:r>
      <w:r w:rsidRPr="000100CE">
        <w:rPr>
          <w:bCs/>
        </w:rPr>
        <w:t>on toplam değerinin en az %80’inin</w:t>
      </w:r>
      <w:r>
        <w:rPr>
          <w:bCs/>
        </w:rPr>
        <w:t xml:space="preserve"> devamlı olarak özel sektör tarafından ihraç edilmiş kira sertifikalarına yatırılması halinde fon unvanı “Özel Sektör Kira Sertifikaları Katılım Fonu” olarak belirlenir.</w:t>
      </w:r>
    </w:p>
    <w:p w:rsidR="00427C1D" w:rsidRPr="006218B6" w:rsidRDefault="00427C1D" w:rsidP="00B9383D">
      <w:pPr>
        <w:pStyle w:val="NormalWeb"/>
        <w:shd w:val="clear" w:color="auto" w:fill="FFFFFF"/>
        <w:spacing w:before="0" w:beforeAutospacing="0" w:after="240" w:afterAutospacing="0"/>
        <w:ind w:left="709"/>
        <w:jc w:val="both"/>
        <w:rPr>
          <w:bCs/>
        </w:rPr>
      </w:pPr>
      <w:r>
        <w:rPr>
          <w:bCs/>
        </w:rPr>
        <w:t>Örnek 3: F</w:t>
      </w:r>
      <w:r w:rsidRPr="006218B6">
        <w:rPr>
          <w:bCs/>
        </w:rPr>
        <w:t xml:space="preserve">on toplam değerinin en az %80’inin </w:t>
      </w:r>
      <w:r>
        <w:rPr>
          <w:bCs/>
        </w:rPr>
        <w:t xml:space="preserve">gelişmekte olan ülkelerdeki </w:t>
      </w:r>
      <w:r w:rsidRPr="006218B6">
        <w:rPr>
          <w:bCs/>
        </w:rPr>
        <w:t xml:space="preserve">teknoloji sektöründe </w:t>
      </w:r>
      <w:r>
        <w:rPr>
          <w:bCs/>
        </w:rPr>
        <w:t>faaliyet gösteren</w:t>
      </w:r>
      <w:r w:rsidRPr="006218B6">
        <w:rPr>
          <w:bCs/>
        </w:rPr>
        <w:t xml:space="preserve"> yabancı ortaklık paylarına yatırılması</w:t>
      </w:r>
      <w:r>
        <w:rPr>
          <w:bCs/>
        </w:rPr>
        <w:t xml:space="preserve"> halinde, fon unvanı </w:t>
      </w:r>
      <w:r w:rsidR="00CD47F7">
        <w:rPr>
          <w:bCs/>
        </w:rPr>
        <w:t>“</w:t>
      </w:r>
      <w:r w:rsidRPr="006218B6">
        <w:rPr>
          <w:bCs/>
        </w:rPr>
        <w:t>Teknoloji Sektörü Yabancı Hisse Senedi Fonu”</w:t>
      </w:r>
      <w:r>
        <w:rPr>
          <w:bCs/>
        </w:rPr>
        <w:t xml:space="preserve"> veya “Gelişmekte Olan Ülkeler Yabancı Hisse Senedi Fonu” olarak belirlenebilir.</w:t>
      </w:r>
      <w:r w:rsidR="00C86E12">
        <w:rPr>
          <w:bCs/>
        </w:rPr>
        <w:t xml:space="preserve"> </w:t>
      </w:r>
      <w:r>
        <w:rPr>
          <w:bCs/>
        </w:rPr>
        <w:t>Söz konusu örnekten de anlaşılacağı üzere,  Fon Tebliği ve bu Rehber çerçevesinde kullanımı zorunlu olan “Yabancı” ve “Hisse Senedi Fonu” ibarelerine ek olarak “Teknoloji Sektörü” veya “Gelişmekte Olan Ülkeler” ibaresinden bir tanesinin seçilmesi gerekir.</w:t>
      </w:r>
    </w:p>
    <w:p w:rsidR="00427C1D" w:rsidRDefault="00427C1D" w:rsidP="00F562F0">
      <w:pPr>
        <w:pStyle w:val="NormalWeb"/>
        <w:numPr>
          <w:ilvl w:val="0"/>
          <w:numId w:val="78"/>
        </w:numPr>
        <w:shd w:val="clear" w:color="auto" w:fill="FFFFFF"/>
        <w:spacing w:before="0" w:beforeAutospacing="0" w:after="240" w:afterAutospacing="0"/>
        <w:ind w:left="709"/>
        <w:jc w:val="both"/>
        <w:rPr>
          <w:bCs/>
        </w:rPr>
      </w:pPr>
      <w:r w:rsidRPr="004B5F25">
        <w:rPr>
          <w:bCs/>
        </w:rPr>
        <w:t xml:space="preserve">Fon portföyünün, aynı varlık grubunda yer alan farklı araçlardan oluşması ve devamlı olarak, her birinin fon toplam değerine oranı asgari %40 olması durumunda </w:t>
      </w:r>
      <w:r w:rsidR="005E48E3">
        <w:rPr>
          <w:bCs/>
        </w:rPr>
        <w:t>(b) bendi uygulanmaksızın f</w:t>
      </w:r>
      <w:r w:rsidRPr="004B5F25">
        <w:rPr>
          <w:bCs/>
        </w:rPr>
        <w:t xml:space="preserve">on unvanında her iki ibareye </w:t>
      </w:r>
      <w:r>
        <w:rPr>
          <w:bCs/>
        </w:rPr>
        <w:t xml:space="preserve">birden </w:t>
      </w:r>
      <w:r w:rsidRPr="004B5F25">
        <w:rPr>
          <w:bCs/>
        </w:rPr>
        <w:t xml:space="preserve">yer verilebilir. </w:t>
      </w:r>
    </w:p>
    <w:p w:rsidR="00427C1D" w:rsidRPr="004B5F25" w:rsidRDefault="00427C1D" w:rsidP="00B9383D">
      <w:pPr>
        <w:pStyle w:val="NormalWeb"/>
        <w:shd w:val="clear" w:color="auto" w:fill="FFFFFF"/>
        <w:spacing w:before="0" w:beforeAutospacing="0" w:after="240" w:afterAutospacing="0"/>
        <w:ind w:left="709"/>
        <w:jc w:val="both"/>
        <w:rPr>
          <w:bCs/>
        </w:rPr>
      </w:pPr>
      <w:r w:rsidRPr="004B5F25">
        <w:rPr>
          <w:bCs/>
        </w:rPr>
        <w:t xml:space="preserve">Örnek: Devamlı olarak, fon toplam değerinin en az %40’ının altına ve en az %40’ının gümüşe yatırılması halinde fon unvanı “Altın ve Gümüş Fonu” olarak belirlenir.   </w:t>
      </w:r>
    </w:p>
    <w:p w:rsidR="00427C1D" w:rsidRPr="005A0A48" w:rsidRDefault="00427C1D" w:rsidP="00F562F0">
      <w:pPr>
        <w:pStyle w:val="NormalWeb"/>
        <w:numPr>
          <w:ilvl w:val="0"/>
          <w:numId w:val="78"/>
        </w:numPr>
        <w:shd w:val="clear" w:color="auto" w:fill="FFFFFF"/>
        <w:spacing w:before="0" w:beforeAutospacing="0" w:after="240" w:afterAutospacing="0"/>
        <w:ind w:left="709"/>
        <w:jc w:val="both"/>
      </w:pPr>
      <w:r>
        <w:rPr>
          <w:bCs/>
        </w:rPr>
        <w:t xml:space="preserve">i) </w:t>
      </w:r>
      <w:r w:rsidRPr="006E6043">
        <w:rPr>
          <w:bCs/>
        </w:rPr>
        <w:t xml:space="preserve">Fon Tebliği’nin 23’üncü maddesinin birinci fıkrası çerçevesinde belirli yatırımcılara tahsis edilmiş fonların unvanında “özel” ibaresine yer verilir ve bu ibare fon unvanında en sonda yer alır. </w:t>
      </w:r>
    </w:p>
    <w:p w:rsidR="001B44C1" w:rsidRDefault="00427C1D" w:rsidP="00B9383D">
      <w:pPr>
        <w:pStyle w:val="NormalWeb"/>
        <w:shd w:val="clear" w:color="auto" w:fill="FFFFFF"/>
        <w:spacing w:before="0" w:beforeAutospacing="0" w:after="240" w:afterAutospacing="0"/>
        <w:ind w:left="709"/>
        <w:jc w:val="both"/>
        <w:rPr>
          <w:bCs/>
        </w:rPr>
      </w:pPr>
      <w:r w:rsidRPr="005A0A48">
        <w:rPr>
          <w:bCs/>
        </w:rPr>
        <w:t xml:space="preserve">ii)Belirli kriterler çerçevesinde (işyeri, belirli meslek grupları bazında, sektörel bazda vb.) katılma payları belirli bir yatırımcı kitlesine tahsis edilmiş olan fonlar, Fon Tebliği’nin 23. </w:t>
      </w:r>
      <w:r>
        <w:rPr>
          <w:bCs/>
        </w:rPr>
        <w:t>m</w:t>
      </w:r>
      <w:r w:rsidRPr="005A0A48">
        <w:rPr>
          <w:bCs/>
        </w:rPr>
        <w:t>addesin</w:t>
      </w:r>
      <w:r>
        <w:rPr>
          <w:bCs/>
        </w:rPr>
        <w:t xml:space="preserve">in </w:t>
      </w:r>
      <w:r w:rsidRPr="006E6043">
        <w:rPr>
          <w:bCs/>
        </w:rPr>
        <w:t>birinci fıkrası</w:t>
      </w:r>
      <w:r>
        <w:rPr>
          <w:bCs/>
        </w:rPr>
        <w:t xml:space="preserve">nda </w:t>
      </w:r>
      <w:r w:rsidRPr="005A0A48">
        <w:rPr>
          <w:bCs/>
        </w:rPr>
        <w:t xml:space="preserve">düzenlenen “katılma payları önceden belirlenmiş kişi veya kuruluşlara tahsis edilmiş fonlar” kapsamındadır. </w:t>
      </w:r>
      <w:r>
        <w:rPr>
          <w:bCs/>
        </w:rPr>
        <w:t>S</w:t>
      </w:r>
      <w:r w:rsidRPr="006E6043">
        <w:rPr>
          <w:bCs/>
        </w:rPr>
        <w:t>öz konusu fonların unvanlarında fon paylarının satıldığı yatırımcı kitlesini tanımlayan ibareye de yer verilir</w:t>
      </w:r>
      <w:r w:rsidR="00BB0908">
        <w:rPr>
          <w:bCs/>
        </w:rPr>
        <w:t>.</w:t>
      </w:r>
    </w:p>
    <w:p w:rsidR="00BB0908" w:rsidRDefault="00BB0908" w:rsidP="00BB0908">
      <w:pPr>
        <w:pStyle w:val="NormalWeb"/>
        <w:shd w:val="clear" w:color="auto" w:fill="FFFFFF"/>
        <w:spacing w:before="0" w:beforeAutospacing="0" w:after="240" w:afterAutospacing="0"/>
        <w:ind w:left="709" w:right="-141"/>
        <w:jc w:val="both"/>
      </w:pPr>
      <w:r w:rsidRPr="009D534F">
        <w:rPr>
          <w:bCs/>
        </w:rPr>
        <w:t>Örnek</w:t>
      </w:r>
      <w:r>
        <w:rPr>
          <w:bCs/>
        </w:rPr>
        <w:t xml:space="preserve"> 1</w:t>
      </w:r>
      <w:r w:rsidRPr="009D534F">
        <w:rPr>
          <w:bCs/>
        </w:rPr>
        <w:t>:</w:t>
      </w:r>
      <w:r w:rsidRPr="000100CE">
        <w:t>Özel Sektör Borçlanma Araçları</w:t>
      </w:r>
      <w:r w:rsidR="00A6669D">
        <w:t xml:space="preserve"> </w:t>
      </w:r>
      <w:r w:rsidRPr="002E22F7">
        <w:rPr>
          <w:bCs/>
        </w:rPr>
        <w:t>Doktorlar</w:t>
      </w:r>
      <w:r>
        <w:t xml:space="preserve"> Özel</w:t>
      </w:r>
      <w:r w:rsidRPr="000100CE">
        <w:t xml:space="preserve"> Fonu</w:t>
      </w:r>
    </w:p>
    <w:p w:rsidR="00BB0908" w:rsidRPr="00BB0908" w:rsidRDefault="00BB0908" w:rsidP="00B9383D">
      <w:pPr>
        <w:pStyle w:val="NormalWeb"/>
        <w:shd w:val="clear" w:color="auto" w:fill="FFFFFF"/>
        <w:spacing w:before="0" w:beforeAutospacing="0" w:after="240" w:afterAutospacing="0"/>
        <w:ind w:left="360" w:firstLine="348"/>
        <w:jc w:val="both"/>
        <w:rPr>
          <w:bCs/>
        </w:rPr>
      </w:pPr>
      <w:r w:rsidRPr="00BB0908">
        <w:rPr>
          <w:bCs/>
        </w:rPr>
        <w:t>Örnek 2:</w:t>
      </w:r>
      <w:r w:rsidRPr="00BB0908">
        <w:t xml:space="preserve"> ABC A.Ş. Çalışanlarına Yönelik Hisse Senedi Özel Fonu</w:t>
      </w:r>
    </w:p>
    <w:p w:rsidR="008C34E8" w:rsidRPr="00BE2412" w:rsidRDefault="008C34E8" w:rsidP="00B9383D">
      <w:pPr>
        <w:pStyle w:val="NormalWeb"/>
        <w:shd w:val="clear" w:color="auto" w:fill="FFFFFF"/>
        <w:spacing w:before="0" w:beforeAutospacing="0" w:after="240" w:afterAutospacing="0"/>
        <w:ind w:left="709"/>
        <w:jc w:val="both"/>
      </w:pPr>
      <w:r w:rsidRPr="00BB0908">
        <w:rPr>
          <w:bCs/>
        </w:rPr>
        <w:t xml:space="preserve">iii) Uluslararası anlaşmalar kapsamında, </w:t>
      </w:r>
      <w:r w:rsidR="00CD3A7D">
        <w:rPr>
          <w:bCs/>
        </w:rPr>
        <w:t xml:space="preserve">katılma paylarının </w:t>
      </w:r>
      <w:r w:rsidR="00BB0908" w:rsidRPr="00BB0908">
        <w:rPr>
          <w:bCs/>
        </w:rPr>
        <w:t>belirli ülke vatandaşlarına</w:t>
      </w:r>
      <w:r w:rsidRPr="00BB0908">
        <w:rPr>
          <w:bCs/>
        </w:rPr>
        <w:t xml:space="preserve"> satışın</w:t>
      </w:r>
      <w:r w:rsidR="00CD3A7D">
        <w:rPr>
          <w:bCs/>
        </w:rPr>
        <w:t>ın</w:t>
      </w:r>
      <w:r w:rsidR="00A6669D">
        <w:rPr>
          <w:bCs/>
        </w:rPr>
        <w:t xml:space="preserve"> </w:t>
      </w:r>
      <w:r w:rsidRPr="00BB0908">
        <w:rPr>
          <w:bCs/>
        </w:rPr>
        <w:t>kısıtla</w:t>
      </w:r>
      <w:r w:rsidR="00CD3A7D">
        <w:rPr>
          <w:bCs/>
        </w:rPr>
        <w:t>ndığı</w:t>
      </w:r>
      <w:r w:rsidR="00A6669D">
        <w:rPr>
          <w:bCs/>
        </w:rPr>
        <w:t xml:space="preserve"> </w:t>
      </w:r>
      <w:r w:rsidR="00CA5A97" w:rsidRPr="00BB0908">
        <w:rPr>
          <w:bCs/>
        </w:rPr>
        <w:t xml:space="preserve">fonlar özel fon olarak nitelendirilmez ve </w:t>
      </w:r>
      <w:r w:rsidRPr="00BB0908">
        <w:rPr>
          <w:bCs/>
        </w:rPr>
        <w:t>fonların unvanında “özel” ibaresine yer verilmez. Bu</w:t>
      </w:r>
      <w:r w:rsidR="00C70C0F">
        <w:rPr>
          <w:bCs/>
        </w:rPr>
        <w:t xml:space="preserve"> tür</w:t>
      </w:r>
      <w:r w:rsidRPr="00BB0908">
        <w:rPr>
          <w:bCs/>
        </w:rPr>
        <w:t xml:space="preserve"> fonların izahnamelerinde söz konusu sınırlamaya ilişkin bir açıklama yapılır.</w:t>
      </w:r>
    </w:p>
    <w:p w:rsidR="00427C1D" w:rsidRPr="00BE2412" w:rsidRDefault="00427C1D" w:rsidP="00F562F0">
      <w:pPr>
        <w:pStyle w:val="NormalWeb"/>
        <w:numPr>
          <w:ilvl w:val="0"/>
          <w:numId w:val="78"/>
        </w:numPr>
        <w:shd w:val="clear" w:color="auto" w:fill="FFFFFF"/>
        <w:spacing w:before="0" w:beforeAutospacing="0" w:after="240" w:afterAutospacing="0"/>
        <w:ind w:left="709"/>
        <w:jc w:val="both"/>
        <w:rPr>
          <w:bCs/>
        </w:rPr>
      </w:pPr>
      <w:r>
        <w:rPr>
          <w:bCs/>
        </w:rPr>
        <w:t xml:space="preserve">Fon Tebliği’nin 6’ncı maddesinin ikinci fıkrası çerçevesinde hisse senedi yoğun fonların unvanlarının sonunda “(Hisse </w:t>
      </w:r>
      <w:r w:rsidR="001B44C1">
        <w:rPr>
          <w:bCs/>
        </w:rPr>
        <w:t>S</w:t>
      </w:r>
      <w:r>
        <w:rPr>
          <w:bCs/>
        </w:rPr>
        <w:t xml:space="preserve">enedi </w:t>
      </w:r>
      <w:r w:rsidR="001B44C1">
        <w:rPr>
          <w:bCs/>
        </w:rPr>
        <w:t>Y</w:t>
      </w:r>
      <w:r>
        <w:rPr>
          <w:bCs/>
        </w:rPr>
        <w:t xml:space="preserve">oğun </w:t>
      </w:r>
      <w:r w:rsidR="001B44C1">
        <w:rPr>
          <w:bCs/>
        </w:rPr>
        <w:t>F</w:t>
      </w:r>
      <w:r>
        <w:rPr>
          <w:bCs/>
        </w:rPr>
        <w:t xml:space="preserve">on)” ibaresine yer verilir. </w:t>
      </w:r>
    </w:p>
    <w:p w:rsidR="00427C1D" w:rsidRPr="009D014C" w:rsidRDefault="00427C1D" w:rsidP="00B9383D">
      <w:pPr>
        <w:pStyle w:val="NormalWeb"/>
        <w:shd w:val="clear" w:color="auto" w:fill="FFFFFF"/>
        <w:spacing w:before="0" w:beforeAutospacing="0" w:after="240" w:afterAutospacing="0"/>
        <w:ind w:firstLine="708"/>
        <w:jc w:val="both"/>
      </w:pPr>
      <w:r>
        <w:rPr>
          <w:bCs/>
        </w:rPr>
        <w:t xml:space="preserve">Örnek: </w:t>
      </w:r>
      <w:r>
        <w:t>BIST30</w:t>
      </w:r>
      <w:r w:rsidR="003B1E27">
        <w:t xml:space="preserve"> </w:t>
      </w:r>
      <w:r>
        <w:t xml:space="preserve">Endeksi </w:t>
      </w:r>
      <w:r w:rsidRPr="000100CE">
        <w:t>Hisse Senedi Fonu</w:t>
      </w:r>
      <w:r>
        <w:t xml:space="preserve"> (Hisse Senedi Yoğun Fon)</w:t>
      </w:r>
    </w:p>
    <w:p w:rsidR="00427C1D" w:rsidRDefault="00427C1D" w:rsidP="00F562F0">
      <w:pPr>
        <w:pStyle w:val="NormalWeb"/>
        <w:numPr>
          <w:ilvl w:val="0"/>
          <w:numId w:val="78"/>
        </w:numPr>
        <w:shd w:val="clear" w:color="auto" w:fill="FFFFFF"/>
        <w:spacing w:before="0" w:beforeAutospacing="0" w:after="240" w:afterAutospacing="0"/>
        <w:ind w:left="709"/>
        <w:jc w:val="both"/>
        <w:rPr>
          <w:bCs/>
        </w:rPr>
      </w:pPr>
      <w:r>
        <w:rPr>
          <w:bCs/>
        </w:rPr>
        <w:t>Fon Tebliği’nde belirlenen esaslar çerçevesinde b</w:t>
      </w:r>
      <w:r w:rsidRPr="000100CE">
        <w:rPr>
          <w:bCs/>
        </w:rPr>
        <w:t>orçlanma araçları fonlarında vade yapısına yer verilmek istenmesi durumunda</w:t>
      </w:r>
      <w:r>
        <w:rPr>
          <w:bCs/>
        </w:rPr>
        <w:t>,</w:t>
      </w:r>
      <w:r w:rsidRPr="000100CE">
        <w:rPr>
          <w:bCs/>
        </w:rPr>
        <w:t xml:space="preserve"> vade yapısına ilişkin i</w:t>
      </w:r>
      <w:r>
        <w:rPr>
          <w:bCs/>
        </w:rPr>
        <w:t>bare</w:t>
      </w:r>
      <w:r w:rsidRPr="000100CE">
        <w:rPr>
          <w:bCs/>
        </w:rPr>
        <w:t xml:space="preserve"> fon unvanında en başta yer alır. </w:t>
      </w:r>
    </w:p>
    <w:p w:rsidR="00427C1D" w:rsidRDefault="00427C1D" w:rsidP="00B9383D">
      <w:pPr>
        <w:pStyle w:val="NormalWeb"/>
        <w:shd w:val="clear" w:color="auto" w:fill="FFFFFF"/>
        <w:spacing w:before="0" w:beforeAutospacing="0" w:after="240" w:afterAutospacing="0"/>
        <w:ind w:left="709"/>
        <w:jc w:val="both"/>
      </w:pPr>
      <w:r w:rsidRPr="009D534F">
        <w:rPr>
          <w:bCs/>
        </w:rPr>
        <w:t>Örnek:</w:t>
      </w:r>
      <w:r w:rsidRPr="00BD0A37">
        <w:rPr>
          <w:bCs/>
        </w:rPr>
        <w:t xml:space="preserve"> Orta</w:t>
      </w:r>
      <w:r w:rsidRPr="000100CE">
        <w:rPr>
          <w:bCs/>
        </w:rPr>
        <w:t xml:space="preserve"> Vadeli Özel Sektör Borçlanma Araçları Fon</w:t>
      </w:r>
      <w:r>
        <w:t>u</w:t>
      </w:r>
    </w:p>
    <w:p w:rsidR="00427C1D" w:rsidRPr="002C7479" w:rsidRDefault="00427C1D" w:rsidP="00F562F0">
      <w:pPr>
        <w:pStyle w:val="NormalWeb"/>
        <w:numPr>
          <w:ilvl w:val="0"/>
          <w:numId w:val="78"/>
        </w:numPr>
        <w:shd w:val="clear" w:color="auto" w:fill="FFFFFF"/>
        <w:spacing w:before="0" w:beforeAutospacing="0" w:after="240" w:afterAutospacing="0"/>
        <w:ind w:left="709"/>
        <w:jc w:val="both"/>
      </w:pPr>
      <w:r w:rsidRPr="00E527CC">
        <w:rPr>
          <w:bCs/>
        </w:rPr>
        <w:t>Koruma amaçlı ve garantili şemsiye fonlar</w:t>
      </w:r>
      <w:r>
        <w:rPr>
          <w:bCs/>
        </w:rPr>
        <w:t xml:space="preserve">a bağlı fonların unvanlarında </w:t>
      </w:r>
      <w:r w:rsidRPr="00E527CC">
        <w:rPr>
          <w:bCs/>
        </w:rPr>
        <w:t>garantinin veya korumanın başlangıç</w:t>
      </w:r>
      <w:r w:rsidR="00A6669D">
        <w:rPr>
          <w:bCs/>
        </w:rPr>
        <w:t xml:space="preserve"> </w:t>
      </w:r>
      <w:r w:rsidRPr="00E527CC">
        <w:rPr>
          <w:bCs/>
        </w:rPr>
        <w:t xml:space="preserve">yatırımına oranına </w:t>
      </w:r>
      <w:r>
        <w:rPr>
          <w:bCs/>
        </w:rPr>
        <w:t>veya</w:t>
      </w:r>
      <w:r w:rsidRPr="00E527CC">
        <w:rPr>
          <w:bCs/>
        </w:rPr>
        <w:t xml:space="preserve"> garantili fonlarda garantör tarafından sağlanan garanti kapsamındaki getiri oranına yer verilir.</w:t>
      </w:r>
      <w:r w:rsidR="00A6669D">
        <w:rPr>
          <w:bCs/>
        </w:rPr>
        <w:t xml:space="preserve"> </w:t>
      </w:r>
      <w:r w:rsidRPr="00E527CC">
        <w:rPr>
          <w:bCs/>
        </w:rPr>
        <w:t>Özel sektör tarafından ihraç edilen kira sertifikalarına ve borçlanma araçlarına yatırım yapan garantili ve koruma amaçlı fonların unvanlarında söz konusu sermaye piyasası araçlarına yapılan yatırımı belirtir bir i</w:t>
      </w:r>
      <w:r>
        <w:rPr>
          <w:bCs/>
        </w:rPr>
        <w:t>bareye</w:t>
      </w:r>
      <w:r w:rsidRPr="00E527CC">
        <w:rPr>
          <w:bCs/>
        </w:rPr>
        <w:t xml:space="preserve"> yer verilir.</w:t>
      </w:r>
    </w:p>
    <w:p w:rsidR="002C7479" w:rsidRDefault="002C7479" w:rsidP="00B9383D">
      <w:pPr>
        <w:pStyle w:val="NormalWeb"/>
        <w:shd w:val="clear" w:color="auto" w:fill="FFFFFF"/>
        <w:spacing w:before="0" w:beforeAutospacing="0" w:after="240" w:afterAutospacing="0"/>
        <w:ind w:left="709"/>
        <w:jc w:val="both"/>
      </w:pPr>
      <w:r>
        <w:t>Örnek 1: Özel Sektör Kira Sertifikalarına Yatırım Yapan %102 Anapara Koruma Amaçlı Fon</w:t>
      </w:r>
    </w:p>
    <w:p w:rsidR="002C7479" w:rsidRPr="001F768A" w:rsidRDefault="002C7479" w:rsidP="00B9383D">
      <w:pPr>
        <w:pStyle w:val="NormalWeb"/>
        <w:shd w:val="clear" w:color="auto" w:fill="FFFFFF"/>
        <w:spacing w:before="0" w:beforeAutospacing="0" w:after="240" w:afterAutospacing="0"/>
        <w:ind w:left="709"/>
        <w:jc w:val="both"/>
      </w:pPr>
      <w:r>
        <w:t xml:space="preserve">Örnek 2: </w:t>
      </w:r>
      <w:r w:rsidRPr="001F768A">
        <w:t>Özel Sektör Borçlanma Araçlarına Yatırım Yapan %98 Anapara Garantili Fon</w:t>
      </w:r>
    </w:p>
    <w:p w:rsidR="005A7A89" w:rsidRDefault="002958E4" w:rsidP="00F562F0">
      <w:pPr>
        <w:pStyle w:val="NormalWeb"/>
        <w:numPr>
          <w:ilvl w:val="0"/>
          <w:numId w:val="78"/>
        </w:numPr>
        <w:shd w:val="clear" w:color="auto" w:fill="FFFFFF"/>
        <w:spacing w:before="0" w:beforeAutospacing="0" w:after="240" w:afterAutospacing="0"/>
        <w:ind w:left="709"/>
        <w:jc w:val="both"/>
      </w:pPr>
      <w:r w:rsidRPr="002958E4">
        <w:t>(Değişiklik: 22.04.2022 tarih ve 19</w:t>
      </w:r>
      <w:r w:rsidR="00C42D9D">
        <w:t>/629</w:t>
      </w:r>
      <w:r w:rsidRPr="002958E4">
        <w:t xml:space="preserve"> sayılı Kurul Kararı ile) </w:t>
      </w:r>
      <w:r w:rsidR="005A7A89">
        <w:t>(b) bendi uyarınca, değişken fonların</w:t>
      </w:r>
      <w:r w:rsidR="00B1768D">
        <w:t xml:space="preserve"> ve fon sepeti fonlarının</w:t>
      </w:r>
      <w:r w:rsidR="005A7A89">
        <w:t xml:space="preserve"> unvan</w:t>
      </w:r>
      <w:r w:rsidR="00B1768D">
        <w:t>lar</w:t>
      </w:r>
      <w:r w:rsidR="005A7A89">
        <w:t xml:space="preserve">ına, fonun portföy yönetim stratejisi çerçevesinde, varlık seçimine </w:t>
      </w:r>
      <w:r w:rsidR="00C95193" w:rsidRPr="007D0864">
        <w:t>ve riskin dağılımına</w:t>
      </w:r>
      <w:r w:rsidR="00A6669D">
        <w:t xml:space="preserve"> </w:t>
      </w:r>
      <w:r w:rsidR="005A7A89">
        <w:t xml:space="preserve">yönelik olarak kullanılan teknik/yöntemi yansıtacak bir ibarenin eklenmesi mümkündür.  </w:t>
      </w:r>
    </w:p>
    <w:p w:rsidR="0096016A" w:rsidRDefault="0096016A" w:rsidP="00F562F0">
      <w:pPr>
        <w:pStyle w:val="NormalWeb"/>
        <w:numPr>
          <w:ilvl w:val="0"/>
          <w:numId w:val="78"/>
        </w:numPr>
        <w:shd w:val="clear" w:color="auto" w:fill="FFFFFF"/>
        <w:spacing w:before="0" w:beforeAutospacing="0" w:after="240" w:afterAutospacing="0"/>
        <w:ind w:left="709"/>
        <w:jc w:val="both"/>
      </w:pPr>
      <w:r w:rsidRPr="001F768A">
        <w:t xml:space="preserve">Fon izahnamesinde belirtilmesi ve Kurulca uygun görülmesi koşuluyla, </w:t>
      </w:r>
      <w:r w:rsidR="004C0250" w:rsidRPr="001F768A">
        <w:t>fon</w:t>
      </w:r>
      <w:r w:rsidR="004C0250">
        <w:t xml:space="preserve"> unvanına ilaveten, </w:t>
      </w:r>
      <w:r w:rsidRPr="0096016A">
        <w:t>reklam ve pazarlama faaliyetlerinde yatırımcıları yanlış yönlendirmeyecek şekilde, fonun risk ve getiri yapısının tam ve doğru bir şekilde anlaşılmasını sağlayacak farklı bir ad kullanılabilir.</w:t>
      </w:r>
    </w:p>
    <w:p w:rsidR="00200E55" w:rsidRPr="00856E6D" w:rsidRDefault="001C14E4" w:rsidP="00071DD1">
      <w:pPr>
        <w:pStyle w:val="NormalWeb"/>
        <w:numPr>
          <w:ilvl w:val="0"/>
          <w:numId w:val="78"/>
        </w:numPr>
        <w:shd w:val="clear" w:color="auto" w:fill="FFFFFF"/>
        <w:spacing w:before="0" w:beforeAutospacing="0" w:after="240" w:afterAutospacing="0"/>
        <w:ind w:left="709" w:hanging="283"/>
        <w:jc w:val="both"/>
        <w:rPr>
          <w:bCs/>
        </w:rPr>
      </w:pPr>
      <w:r w:rsidRPr="00856E6D">
        <w:rPr>
          <w:b/>
        </w:rPr>
        <w:t>(Ek bent: 13.11.2015 tarih ve 31/1437 sayılı Kurul Kararı ile</w:t>
      </w:r>
      <w:r w:rsidR="007E124F">
        <w:rPr>
          <w:b/>
        </w:rPr>
        <w:t>), (</w:t>
      </w:r>
      <w:r w:rsidR="00071DD1" w:rsidRPr="00071DD1">
        <w:rPr>
          <w:b/>
        </w:rPr>
        <w:t xml:space="preserve">Değişiklik: </w:t>
      </w:r>
      <w:r w:rsidR="00071DD1" w:rsidRPr="00071DD1">
        <w:rPr>
          <w:b/>
          <w:bCs/>
        </w:rPr>
        <w:t>09.05.2017 tarih ve 20/688 sayılı Kurul Kararı ile</w:t>
      </w:r>
      <w:r w:rsidR="00071DD1">
        <w:rPr>
          <w:b/>
        </w:rPr>
        <w:t>)</w:t>
      </w:r>
      <w:r w:rsidR="002B1E34">
        <w:rPr>
          <w:b/>
        </w:rPr>
        <w:t>, (</w:t>
      </w:r>
      <w:r w:rsidR="002B1E34" w:rsidRPr="00071DD1">
        <w:rPr>
          <w:b/>
        </w:rPr>
        <w:t xml:space="preserve">Değişiklik: </w:t>
      </w:r>
      <w:r w:rsidR="002B1E34">
        <w:rPr>
          <w:b/>
          <w:bCs/>
        </w:rPr>
        <w:t>29.09.2022 tarih ve 54/1446</w:t>
      </w:r>
      <w:r w:rsidR="002B1E34" w:rsidRPr="00071DD1">
        <w:rPr>
          <w:b/>
          <w:bCs/>
        </w:rPr>
        <w:t xml:space="preserve"> sayılı Kurul Kararı ile</w:t>
      </w:r>
      <w:r w:rsidR="002B1E34">
        <w:rPr>
          <w:b/>
        </w:rPr>
        <w:t>)</w:t>
      </w:r>
      <w:r w:rsidRPr="00856E6D">
        <w:rPr>
          <w:b/>
        </w:rPr>
        <w:t xml:space="preserve"> </w:t>
      </w:r>
      <w:r w:rsidR="009C701E">
        <w:t xml:space="preserve">i) </w:t>
      </w:r>
      <w:r w:rsidR="00200E55" w:rsidRPr="00200E55">
        <w:t xml:space="preserve">Fon toplam değerinin en az %80’inin devamlı olarak yerli ve yabancı ihraççıların döviz </w:t>
      </w:r>
      <w:r w:rsidR="00200E55" w:rsidRPr="00856E6D">
        <w:rPr>
          <w:bCs/>
        </w:rPr>
        <w:t xml:space="preserve">cinsinden ihraç edilmiş para ve sermaye piyasası araçlarından oluşması halinde, anılan fonların unvanında “(Döviz)” ibaresine yer verilir. </w:t>
      </w:r>
    </w:p>
    <w:p w:rsidR="00200E55" w:rsidRPr="00D673AE" w:rsidRDefault="00200E55" w:rsidP="00D673AE">
      <w:pPr>
        <w:pStyle w:val="NormalWeb"/>
        <w:shd w:val="clear" w:color="auto" w:fill="FFFFFF"/>
        <w:spacing w:before="0" w:beforeAutospacing="0" w:after="240" w:afterAutospacing="0"/>
        <w:ind w:left="709"/>
        <w:jc w:val="both"/>
        <w:rPr>
          <w:bCs/>
        </w:rPr>
      </w:pPr>
      <w:r w:rsidRPr="00D673AE">
        <w:rPr>
          <w:bCs/>
        </w:rPr>
        <w:t>Örnek</w:t>
      </w:r>
      <w:r w:rsidR="009C701E" w:rsidRPr="00D673AE">
        <w:rPr>
          <w:bCs/>
        </w:rPr>
        <w:t xml:space="preserve"> 1</w:t>
      </w:r>
      <w:r w:rsidRPr="00D673AE">
        <w:rPr>
          <w:bCs/>
        </w:rPr>
        <w:t>: Değişken (Döviz) Fon</w:t>
      </w:r>
    </w:p>
    <w:p w:rsidR="00200E55" w:rsidRPr="00D673AE" w:rsidRDefault="009C701E" w:rsidP="00D673AE">
      <w:pPr>
        <w:pStyle w:val="NormalWeb"/>
        <w:shd w:val="clear" w:color="auto" w:fill="FFFFFF"/>
        <w:spacing w:before="0" w:beforeAutospacing="0" w:after="240" w:afterAutospacing="0"/>
        <w:ind w:left="709"/>
        <w:jc w:val="both"/>
        <w:rPr>
          <w:bCs/>
        </w:rPr>
      </w:pPr>
      <w:r w:rsidRPr="00D673AE">
        <w:rPr>
          <w:bCs/>
        </w:rPr>
        <w:t>Örnek 2: </w:t>
      </w:r>
      <w:r w:rsidR="00200E55" w:rsidRPr="00D673AE">
        <w:rPr>
          <w:bCs/>
        </w:rPr>
        <w:t>Borçlanma Araçları (Döviz) Fonu</w:t>
      </w:r>
    </w:p>
    <w:p w:rsidR="00200E55" w:rsidRDefault="009C701E" w:rsidP="00D673AE">
      <w:pPr>
        <w:pStyle w:val="NormalWeb"/>
        <w:shd w:val="clear" w:color="auto" w:fill="FFFFFF"/>
        <w:spacing w:before="0" w:beforeAutospacing="0" w:after="240" w:afterAutospacing="0"/>
        <w:ind w:left="709"/>
        <w:jc w:val="both"/>
        <w:rPr>
          <w:bCs/>
        </w:rPr>
      </w:pPr>
      <w:r w:rsidRPr="00D673AE">
        <w:rPr>
          <w:bCs/>
        </w:rPr>
        <w:t xml:space="preserve">ii) </w:t>
      </w:r>
      <w:r w:rsidR="00200E55" w:rsidRPr="00D673AE">
        <w:rPr>
          <w:bCs/>
        </w:rPr>
        <w:t>Ancak, unvanında “(Döviz)” ibaresi yer alan fonlar tarafından sadece yabancı ihraççıların para ve sermaye piyasası araçlarına yapılan yatırım hiçbir zaman fon toplam değerinin %80’i veya daha fazlası olmayacaktır. Kurucu tarafından %80’lik oranın sadece yabancı ihraççıların para ve sermaye piyasası araçlarına yapılan yatırım ile sağlanmasının planlanması halinde fonun unvanında “(Döviz)” yerine “Yabancı” ibaresine yer verilecektir.</w:t>
      </w:r>
    </w:p>
    <w:p w:rsidR="003F0767" w:rsidRPr="003F0767" w:rsidRDefault="003F0767" w:rsidP="003F0767">
      <w:pPr>
        <w:pStyle w:val="NormalWeb"/>
        <w:shd w:val="clear" w:color="auto" w:fill="FFFFFF"/>
        <w:spacing w:before="0" w:beforeAutospacing="0" w:after="240" w:afterAutospacing="0"/>
        <w:ind w:left="709" w:hanging="283"/>
        <w:jc w:val="both"/>
        <w:rPr>
          <w:b/>
        </w:rPr>
      </w:pPr>
      <w:r w:rsidRPr="003F0767">
        <w:t>l)</w:t>
      </w:r>
      <w:r>
        <w:rPr>
          <w:b/>
        </w:rPr>
        <w:t xml:space="preserve">  (Ek bent: 17.02.2022 tarih ve 8/230</w:t>
      </w:r>
      <w:r w:rsidRPr="00856E6D">
        <w:rPr>
          <w:b/>
        </w:rPr>
        <w:t xml:space="preserve"> sayılı Kurul Kararı ile</w:t>
      </w:r>
      <w:r>
        <w:rPr>
          <w:b/>
        </w:rPr>
        <w:t xml:space="preserve">) </w:t>
      </w:r>
      <w:r w:rsidRPr="003F0767">
        <w:rPr>
          <w:bCs/>
        </w:rPr>
        <w:t>Portföyünde yabancı para birimi cinsinden varlık ve altın ile diğer kıymetli madenler ve bunlara dayalı sermaye piyasası araçları bulunmayan yatırım fonlarının unvanında “(TL)” ibaresine yer verilir</w:t>
      </w:r>
      <w:r>
        <w:rPr>
          <w:bCs/>
        </w:rPr>
        <w:t>.</w:t>
      </w:r>
    </w:p>
    <w:p w:rsidR="009129F5" w:rsidRDefault="009129F5" w:rsidP="00180CBC">
      <w:pPr>
        <w:pStyle w:val="Heading1"/>
        <w:spacing w:after="240"/>
      </w:pPr>
      <w:bookmarkStart w:id="94" w:name="_Toc130312538"/>
      <w:bookmarkStart w:id="95" w:name="_Toc130312670"/>
      <w:r>
        <w:t>3.</w:t>
      </w:r>
      <w:r w:rsidRPr="00981159">
        <w:t xml:space="preserve"> </w:t>
      </w:r>
      <w:r w:rsidR="00EA430B">
        <w:t xml:space="preserve">(Değişiklik: 01.03.2018 tarih ve 9/316 sayılı Kurul Kararı ile) </w:t>
      </w:r>
      <w:r w:rsidRPr="00981159">
        <w:t xml:space="preserve">Fon Türlerine </w:t>
      </w:r>
      <w:r w:rsidR="00EA430B">
        <w:t xml:space="preserve">ve Portföy Sınırlamalarına </w:t>
      </w:r>
      <w:r w:rsidRPr="00981159">
        <w:t>İlişkin Kontrol</w:t>
      </w:r>
      <w:bookmarkEnd w:id="94"/>
      <w:bookmarkEnd w:id="95"/>
    </w:p>
    <w:p w:rsidR="00A81A74" w:rsidRDefault="002F3E65" w:rsidP="00A81A74">
      <w:pPr>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A81A74">
        <w:rPr>
          <w:rFonts w:ascii="Times New Roman" w:hAnsi="Times New Roman" w:cs="Times New Roman"/>
          <w:sz w:val="24"/>
          <w:szCs w:val="24"/>
        </w:rPr>
        <w:t>Fon Tebliği’nin 6’ncı maddesinin birinci fıkrasının (a) bendinde sayılan fonlar tarafından, f</w:t>
      </w:r>
      <w:r w:rsidR="00A81A74" w:rsidRPr="006A1B34">
        <w:rPr>
          <w:rFonts w:ascii="Times New Roman" w:hAnsi="Times New Roman" w:cs="Times New Roman"/>
          <w:sz w:val="24"/>
          <w:szCs w:val="24"/>
        </w:rPr>
        <w:t>on toplam değerinin en az %80’i</w:t>
      </w:r>
      <w:r w:rsidR="00A81A74">
        <w:rPr>
          <w:rFonts w:ascii="Times New Roman" w:hAnsi="Times New Roman" w:cs="Times New Roman"/>
          <w:sz w:val="24"/>
          <w:szCs w:val="24"/>
        </w:rPr>
        <w:t>nin</w:t>
      </w:r>
      <w:r w:rsidR="00A81A74" w:rsidRPr="006A1B34">
        <w:rPr>
          <w:rFonts w:ascii="Times New Roman" w:hAnsi="Times New Roman" w:cs="Times New Roman"/>
          <w:sz w:val="24"/>
          <w:szCs w:val="24"/>
        </w:rPr>
        <w:t xml:space="preserve"> devamlı olarak</w:t>
      </w:r>
      <w:r w:rsidR="00A81A74">
        <w:rPr>
          <w:rFonts w:ascii="Times New Roman" w:hAnsi="Times New Roman" w:cs="Times New Roman"/>
          <w:sz w:val="24"/>
          <w:szCs w:val="24"/>
        </w:rPr>
        <w:t xml:space="preserve"> anılan bentte belirlenen varlıklara yatırılması zorunludur. Söz konusu oranın hesaplanmasında aşağıda yer verilen esaslara uyulur. </w:t>
      </w:r>
    </w:p>
    <w:p w:rsidR="002456B5" w:rsidRDefault="00D37727" w:rsidP="0006161B">
      <w:pPr>
        <w:pStyle w:val="ListParagraph"/>
        <w:numPr>
          <w:ilvl w:val="0"/>
          <w:numId w:val="56"/>
        </w:numPr>
        <w:ind w:left="709"/>
        <w:jc w:val="both"/>
        <w:rPr>
          <w:rFonts w:ascii="Times New Roman" w:hAnsi="Times New Roman" w:cs="Times New Roman"/>
          <w:sz w:val="24"/>
          <w:szCs w:val="24"/>
        </w:rPr>
      </w:pPr>
      <w:r w:rsidRPr="002456B5">
        <w:rPr>
          <w:rFonts w:ascii="Times New Roman" w:eastAsia="Times New Roman" w:hAnsi="Times New Roman" w:cs="Times New Roman"/>
          <w:sz w:val="24"/>
          <w:szCs w:val="24"/>
          <w:lang w:eastAsia="tr-TR"/>
        </w:rPr>
        <w:t xml:space="preserve">Fon Tebliği’nin 6’ncı maddesi </w:t>
      </w:r>
      <w:r w:rsidRPr="007814BB">
        <w:rPr>
          <w:rFonts w:ascii="Times New Roman" w:eastAsia="Times New Roman" w:hAnsi="Times New Roman" w:cs="Times New Roman"/>
          <w:sz w:val="24"/>
          <w:szCs w:val="24"/>
          <w:lang w:eastAsia="tr-TR"/>
        </w:rPr>
        <w:t>kapsamında</w:t>
      </w:r>
      <w:r w:rsidR="00FF0603" w:rsidRPr="007814BB">
        <w:rPr>
          <w:rFonts w:ascii="Times New Roman" w:eastAsia="Times New Roman" w:hAnsi="Times New Roman" w:cs="Times New Roman"/>
          <w:sz w:val="24"/>
          <w:szCs w:val="24"/>
          <w:lang w:eastAsia="tr-TR"/>
        </w:rPr>
        <w:t xml:space="preserve"> </w:t>
      </w:r>
      <w:r w:rsidRPr="007814BB">
        <w:rPr>
          <w:rFonts w:ascii="Times New Roman" w:hAnsi="Times New Roman" w:cs="Times New Roman"/>
          <w:sz w:val="24"/>
          <w:szCs w:val="24"/>
        </w:rPr>
        <w:t>asgari</w:t>
      </w:r>
      <w:r w:rsidRPr="002456B5">
        <w:rPr>
          <w:rFonts w:ascii="Times New Roman" w:hAnsi="Times New Roman" w:cs="Times New Roman"/>
          <w:sz w:val="24"/>
          <w:szCs w:val="24"/>
        </w:rPr>
        <w:t xml:space="preserve"> </w:t>
      </w:r>
      <w:r w:rsidR="00A81A74" w:rsidRPr="002456B5">
        <w:rPr>
          <w:rFonts w:ascii="Times New Roman" w:hAnsi="Times New Roman" w:cs="Times New Roman"/>
          <w:sz w:val="24"/>
          <w:szCs w:val="24"/>
        </w:rPr>
        <w:t>%80 oranının</w:t>
      </w:r>
      <w:r w:rsidR="002456B5">
        <w:rPr>
          <w:rFonts w:ascii="Times New Roman" w:hAnsi="Times New Roman" w:cs="Times New Roman"/>
          <w:sz w:val="24"/>
          <w:szCs w:val="24"/>
        </w:rPr>
        <w:t>,</w:t>
      </w:r>
      <w:r w:rsidR="00A6669D">
        <w:rPr>
          <w:rFonts w:ascii="Times New Roman" w:hAnsi="Times New Roman" w:cs="Times New Roman"/>
          <w:sz w:val="24"/>
          <w:szCs w:val="24"/>
        </w:rPr>
        <w:t xml:space="preserve"> </w:t>
      </w:r>
      <w:r w:rsidR="002456B5">
        <w:rPr>
          <w:rFonts w:ascii="Times New Roman" w:hAnsi="Times New Roman" w:cs="Times New Roman"/>
          <w:sz w:val="24"/>
          <w:szCs w:val="24"/>
        </w:rPr>
        <w:t xml:space="preserve">spot </w:t>
      </w:r>
      <w:r w:rsidR="00A81A74" w:rsidRPr="002456B5">
        <w:rPr>
          <w:rFonts w:ascii="Times New Roman" w:hAnsi="Times New Roman" w:cs="Times New Roman"/>
          <w:sz w:val="24"/>
          <w:szCs w:val="24"/>
        </w:rPr>
        <w:t xml:space="preserve">piyasada yapılan yatırımlarla sağlanıp sağlanmadığı kontrol edilir. </w:t>
      </w:r>
    </w:p>
    <w:p w:rsidR="00A81A74" w:rsidRPr="002456B5" w:rsidRDefault="00A81A74" w:rsidP="002456B5">
      <w:pPr>
        <w:pStyle w:val="ListParagraph"/>
        <w:ind w:left="709"/>
        <w:jc w:val="both"/>
        <w:rPr>
          <w:rFonts w:ascii="Times New Roman" w:hAnsi="Times New Roman" w:cs="Times New Roman"/>
          <w:sz w:val="24"/>
          <w:szCs w:val="24"/>
        </w:rPr>
      </w:pPr>
    </w:p>
    <w:p w:rsidR="006C72EF" w:rsidRDefault="00A81A74" w:rsidP="0006161B">
      <w:pPr>
        <w:pStyle w:val="ListParagraph"/>
        <w:numPr>
          <w:ilvl w:val="0"/>
          <w:numId w:val="56"/>
        </w:numPr>
        <w:jc w:val="both"/>
        <w:rPr>
          <w:rFonts w:ascii="Times New Roman" w:hAnsi="Times New Roman" w:cs="Times New Roman"/>
          <w:sz w:val="24"/>
          <w:szCs w:val="24"/>
        </w:rPr>
      </w:pPr>
      <w:r w:rsidRPr="00FD737F">
        <w:rPr>
          <w:rFonts w:ascii="Times New Roman" w:hAnsi="Times New Roman" w:cs="Times New Roman"/>
          <w:sz w:val="24"/>
          <w:szCs w:val="24"/>
        </w:rPr>
        <w:t>Fon Tebliği’nin 6’ncı maddesinin birinci fıkrasının (a) bendi uyarınca %80 oranının hesaplanmasına dahil edilen varlıklar dışında olmakla birlikte, fon yatırım stratejisinde yatırım yapılabileceği belirtilen varlıklara dayalı olarak yapılan kaldıraç yaratan işlemlerin pozisyonlarının</w:t>
      </w:r>
      <w:r w:rsidRPr="00FD737F">
        <w:rPr>
          <w:rStyle w:val="FootnoteReference"/>
          <w:rFonts w:ascii="Times New Roman" w:hAnsi="Times New Roman" w:cs="Times New Roman"/>
          <w:sz w:val="24"/>
          <w:szCs w:val="24"/>
        </w:rPr>
        <w:footnoteReference w:id="3"/>
      </w:r>
      <w:r w:rsidRPr="00FD737F">
        <w:rPr>
          <w:rFonts w:ascii="Times New Roman" w:hAnsi="Times New Roman" w:cs="Times New Roman"/>
          <w:sz w:val="24"/>
          <w:szCs w:val="24"/>
        </w:rPr>
        <w:t xml:space="preserve"> mutlak değerlerinin toplamı, fon toplam değerinin %20’sini aşamaz.</w:t>
      </w:r>
    </w:p>
    <w:p w:rsidR="00A81A74" w:rsidRPr="00FD737F" w:rsidRDefault="00A81A74" w:rsidP="006C72EF">
      <w:pPr>
        <w:pStyle w:val="ListParagraph"/>
        <w:jc w:val="both"/>
        <w:rPr>
          <w:rFonts w:ascii="Times New Roman" w:hAnsi="Times New Roman" w:cs="Times New Roman"/>
          <w:sz w:val="24"/>
          <w:szCs w:val="24"/>
        </w:rPr>
      </w:pPr>
      <w:r w:rsidRPr="00FD737F">
        <w:rPr>
          <w:rFonts w:ascii="Times New Roman" w:hAnsi="Times New Roman" w:cs="Times New Roman"/>
          <w:sz w:val="24"/>
          <w:szCs w:val="24"/>
        </w:rPr>
        <w:t xml:space="preserve"> </w:t>
      </w:r>
    </w:p>
    <w:p w:rsidR="002456B5" w:rsidRDefault="002456B5" w:rsidP="006C72EF">
      <w:pPr>
        <w:pStyle w:val="ListParagraph"/>
        <w:numPr>
          <w:ilvl w:val="0"/>
          <w:numId w:val="56"/>
        </w:numPr>
        <w:ind w:left="709"/>
        <w:jc w:val="both"/>
        <w:rPr>
          <w:rFonts w:ascii="Times New Roman" w:eastAsia="Times New Roman" w:hAnsi="Times New Roman" w:cs="Times New Roman"/>
          <w:sz w:val="24"/>
          <w:szCs w:val="24"/>
          <w:lang w:eastAsia="tr-TR"/>
        </w:rPr>
      </w:pPr>
      <w:r w:rsidRPr="00FD737F">
        <w:rPr>
          <w:rFonts w:ascii="Times New Roman" w:eastAsia="Times New Roman" w:hAnsi="Times New Roman" w:cs="Times New Roman"/>
          <w:sz w:val="24"/>
          <w:szCs w:val="24"/>
          <w:lang w:eastAsia="tr-TR"/>
        </w:rPr>
        <w:t>Fon Tebliği’nin 6’ncı maddesi kapsamında asgari %80 oranının hesapla</w:t>
      </w:r>
      <w:r w:rsidR="00FC3B8F">
        <w:rPr>
          <w:rFonts w:ascii="Times New Roman" w:eastAsia="Times New Roman" w:hAnsi="Times New Roman" w:cs="Times New Roman"/>
          <w:sz w:val="24"/>
          <w:szCs w:val="24"/>
          <w:lang w:eastAsia="tr-TR"/>
        </w:rPr>
        <w:t>n</w:t>
      </w:r>
      <w:r w:rsidRPr="00FD737F">
        <w:rPr>
          <w:rFonts w:ascii="Times New Roman" w:eastAsia="Times New Roman" w:hAnsi="Times New Roman" w:cs="Times New Roman"/>
          <w:sz w:val="24"/>
          <w:szCs w:val="24"/>
          <w:lang w:eastAsia="tr-TR"/>
        </w:rPr>
        <w:t>masın</w:t>
      </w:r>
      <w:r>
        <w:rPr>
          <w:rFonts w:ascii="Times New Roman" w:eastAsia="Times New Roman" w:hAnsi="Times New Roman" w:cs="Times New Roman"/>
          <w:sz w:val="24"/>
          <w:szCs w:val="24"/>
          <w:lang w:eastAsia="tr-TR"/>
        </w:rPr>
        <w:t>da;</w:t>
      </w:r>
    </w:p>
    <w:p w:rsidR="002456B5" w:rsidRPr="006C72EF" w:rsidRDefault="002456B5" w:rsidP="006C72EF">
      <w:pPr>
        <w:pStyle w:val="NormalWeb"/>
        <w:shd w:val="clear" w:color="auto" w:fill="FFFFFF"/>
        <w:spacing w:before="0" w:beforeAutospacing="0" w:after="240" w:afterAutospacing="0"/>
        <w:ind w:left="709"/>
        <w:jc w:val="both"/>
        <w:rPr>
          <w:bCs/>
        </w:rPr>
      </w:pPr>
      <w:r w:rsidRPr="006C72EF">
        <w:rPr>
          <w:bCs/>
        </w:rPr>
        <w:t xml:space="preserve">i) </w:t>
      </w:r>
      <w:r w:rsidR="00EA430B" w:rsidRPr="00EA430B">
        <w:rPr>
          <w:bCs/>
        </w:rPr>
        <w:t>Yapılandırılmış borçlanma araçları hariç olmak üzere,</w:t>
      </w:r>
      <w:r w:rsidR="00EA430B" w:rsidRPr="00EA430B">
        <w:rPr>
          <w:bCs/>
          <w:i/>
        </w:rPr>
        <w:t xml:space="preserve"> </w:t>
      </w:r>
      <w:r w:rsidR="00EA430B">
        <w:rPr>
          <w:bCs/>
        </w:rPr>
        <w:t>b</w:t>
      </w:r>
      <w:r w:rsidR="00FD737F" w:rsidRPr="006C72EF">
        <w:rPr>
          <w:bCs/>
        </w:rPr>
        <w:t>u Rehber’in (4.1.2) nolu bölümünde düzenlenen araçlara yapılacak yatırım</w:t>
      </w:r>
      <w:r w:rsidRPr="006C72EF">
        <w:rPr>
          <w:bCs/>
        </w:rPr>
        <w:t>lar</w:t>
      </w:r>
      <w:r w:rsidR="00FD737F" w:rsidRPr="006C72EF">
        <w:rPr>
          <w:bCs/>
        </w:rPr>
        <w:t>,</w:t>
      </w:r>
    </w:p>
    <w:p w:rsidR="002456B5" w:rsidRPr="00935FB5" w:rsidRDefault="002456B5" w:rsidP="00935FB5">
      <w:pPr>
        <w:ind w:firstLine="633"/>
        <w:jc w:val="both"/>
        <w:rPr>
          <w:rFonts w:ascii="Times New Roman" w:hAnsi="Times New Roman" w:cs="Times New Roman"/>
          <w:sz w:val="24"/>
          <w:szCs w:val="24"/>
        </w:rPr>
      </w:pPr>
      <w:r w:rsidRPr="00935FB5">
        <w:rPr>
          <w:rFonts w:ascii="Times New Roman" w:hAnsi="Times New Roman" w:cs="Times New Roman"/>
          <w:sz w:val="24"/>
          <w:szCs w:val="24"/>
        </w:rPr>
        <w:t xml:space="preserve">ii) Kaldıraç yaratan işlemlerde bulunmak üzere yatırılan teminat ve primler </w:t>
      </w:r>
    </w:p>
    <w:p w:rsidR="002456B5" w:rsidRPr="006C72EF" w:rsidRDefault="002456B5" w:rsidP="00935FB5">
      <w:pPr>
        <w:ind w:firstLine="633"/>
        <w:jc w:val="both"/>
        <w:rPr>
          <w:rFonts w:ascii="Times New Roman" w:hAnsi="Times New Roman" w:cs="Times New Roman"/>
          <w:sz w:val="24"/>
          <w:szCs w:val="24"/>
        </w:rPr>
      </w:pPr>
      <w:r w:rsidRPr="006C72EF">
        <w:rPr>
          <w:rFonts w:ascii="Times New Roman" w:hAnsi="Times New Roman" w:cs="Times New Roman"/>
          <w:sz w:val="24"/>
          <w:szCs w:val="24"/>
        </w:rPr>
        <w:t>dikkate alınmaz.</w:t>
      </w:r>
    </w:p>
    <w:p w:rsidR="00FD737F" w:rsidRPr="00935FB5" w:rsidRDefault="002456B5" w:rsidP="00935FB5">
      <w:pPr>
        <w:pStyle w:val="ListParagraph"/>
        <w:numPr>
          <w:ilvl w:val="0"/>
          <w:numId w:val="56"/>
        </w:numPr>
        <w:ind w:left="709"/>
        <w:jc w:val="both"/>
        <w:rPr>
          <w:rFonts w:ascii="Times New Roman" w:eastAsia="Times New Roman" w:hAnsi="Times New Roman" w:cs="Times New Roman"/>
          <w:sz w:val="24"/>
          <w:szCs w:val="24"/>
          <w:lang w:eastAsia="tr-TR"/>
        </w:rPr>
      </w:pPr>
      <w:r w:rsidRPr="00935FB5">
        <w:rPr>
          <w:rFonts w:ascii="Times New Roman" w:eastAsia="Times New Roman" w:hAnsi="Times New Roman" w:cs="Times New Roman"/>
          <w:sz w:val="24"/>
          <w:szCs w:val="24"/>
          <w:lang w:eastAsia="tr-TR"/>
        </w:rPr>
        <w:t>Unvanında “Hisse Senedi Yoğun Fon” ibaresi bulunan fonlar tarafından Fon Tebliği’nin 6’ncı maddesinin ikinci fıkrasında yer alan esaslara göre hesaplama yapılır.</w:t>
      </w:r>
    </w:p>
    <w:p w:rsidR="00935FB5" w:rsidRDefault="00935FB5" w:rsidP="00935FB5">
      <w:pPr>
        <w:pStyle w:val="ListParagraph"/>
        <w:ind w:left="709"/>
        <w:jc w:val="both"/>
        <w:rPr>
          <w:rFonts w:ascii="Times New Roman" w:eastAsia="Times New Roman" w:hAnsi="Times New Roman" w:cs="Times New Roman"/>
          <w:sz w:val="24"/>
          <w:szCs w:val="24"/>
          <w:lang w:eastAsia="tr-TR"/>
        </w:rPr>
      </w:pPr>
    </w:p>
    <w:p w:rsidR="00CA32DE" w:rsidRDefault="00EA430B" w:rsidP="00935FB5">
      <w:pPr>
        <w:pStyle w:val="ListParagraph"/>
        <w:numPr>
          <w:ilvl w:val="0"/>
          <w:numId w:val="56"/>
        </w:numPr>
        <w:ind w:left="709"/>
        <w:jc w:val="both"/>
        <w:rPr>
          <w:rFonts w:ascii="Times New Roman" w:eastAsia="Times New Roman" w:hAnsi="Times New Roman" w:cs="Times New Roman"/>
          <w:sz w:val="24"/>
          <w:szCs w:val="24"/>
          <w:lang w:eastAsia="tr-TR"/>
        </w:rPr>
      </w:pPr>
      <w:r w:rsidRPr="00EA430B">
        <w:rPr>
          <w:rFonts w:ascii="Times New Roman" w:eastAsia="Times New Roman" w:hAnsi="Times New Roman" w:cs="Times New Roman"/>
          <w:sz w:val="24"/>
          <w:szCs w:val="24"/>
          <w:lang w:eastAsia="tr-TR"/>
        </w:rPr>
        <w:t>Yapılandırılmış borçlanma araçları ve varlık/ipotek teminatlı menkul kıymetler borçlanma aracı niteliğinde olup, Fon Tebliği, bu Rehber ve fon izahnamesinde yer alan borçlanma araçlarına ilişkin yatırım sınırlamalarında</w:t>
      </w:r>
      <w:r w:rsidRPr="00EA430B">
        <w:rPr>
          <w:rFonts w:ascii="Times New Roman" w:eastAsia="Times New Roman" w:hAnsi="Times New Roman" w:cs="Times New Roman"/>
          <w:b/>
          <w:i/>
          <w:sz w:val="24"/>
          <w:szCs w:val="24"/>
          <w:lang w:eastAsia="tr-TR"/>
        </w:rPr>
        <w:t xml:space="preserve"> </w:t>
      </w:r>
      <w:r w:rsidR="00CA32DE" w:rsidRPr="00935FB5">
        <w:rPr>
          <w:rFonts w:ascii="Times New Roman" w:eastAsia="Times New Roman" w:hAnsi="Times New Roman" w:cs="Times New Roman"/>
          <w:sz w:val="24"/>
          <w:szCs w:val="24"/>
          <w:lang w:eastAsia="tr-TR"/>
        </w:rPr>
        <w:t>dikkate alınır.</w:t>
      </w:r>
    </w:p>
    <w:p w:rsidR="00E24309" w:rsidRPr="00E24309" w:rsidRDefault="00E24309" w:rsidP="00E24309">
      <w:pPr>
        <w:pStyle w:val="ListParagraph"/>
        <w:rPr>
          <w:rFonts w:ascii="Times New Roman" w:eastAsia="Times New Roman" w:hAnsi="Times New Roman" w:cs="Times New Roman"/>
          <w:sz w:val="24"/>
          <w:szCs w:val="24"/>
          <w:lang w:eastAsia="tr-TR"/>
        </w:rPr>
      </w:pPr>
    </w:p>
    <w:p w:rsidR="00E24309" w:rsidRPr="00336C1C" w:rsidRDefault="00E24309" w:rsidP="00935FB5">
      <w:pPr>
        <w:pStyle w:val="ListParagraph"/>
        <w:numPr>
          <w:ilvl w:val="0"/>
          <w:numId w:val="56"/>
        </w:numPr>
        <w:ind w:left="709"/>
        <w:jc w:val="both"/>
        <w:rPr>
          <w:rFonts w:ascii="Times New Roman" w:eastAsia="Times New Roman" w:hAnsi="Times New Roman" w:cs="Times New Roman"/>
          <w:sz w:val="24"/>
          <w:szCs w:val="24"/>
          <w:lang w:eastAsia="tr-TR"/>
        </w:rPr>
      </w:pPr>
      <w:r w:rsidRPr="00E24309">
        <w:rPr>
          <w:rFonts w:ascii="Times New Roman" w:hAnsi="Times New Roman" w:cs="Times New Roman"/>
          <w:b/>
          <w:iCs/>
          <w:sz w:val="24"/>
          <w:szCs w:val="24"/>
        </w:rPr>
        <w:t xml:space="preserve">(Ek bent: </w:t>
      </w:r>
      <w:r>
        <w:rPr>
          <w:rFonts w:ascii="Times New Roman" w:hAnsi="Times New Roman" w:cs="Times New Roman"/>
          <w:b/>
          <w:iCs/>
          <w:sz w:val="24"/>
          <w:szCs w:val="24"/>
        </w:rPr>
        <w:t>29.07.2021</w:t>
      </w:r>
      <w:r w:rsidRPr="00E24309">
        <w:rPr>
          <w:rFonts w:ascii="Times New Roman" w:hAnsi="Times New Roman" w:cs="Times New Roman"/>
          <w:b/>
          <w:iCs/>
          <w:sz w:val="24"/>
          <w:szCs w:val="24"/>
        </w:rPr>
        <w:t xml:space="preserve"> tarih ve </w:t>
      </w:r>
      <w:r>
        <w:rPr>
          <w:rFonts w:ascii="Times New Roman" w:hAnsi="Times New Roman" w:cs="Times New Roman"/>
          <w:b/>
          <w:iCs/>
          <w:sz w:val="24"/>
          <w:szCs w:val="24"/>
        </w:rPr>
        <w:t>38/1155</w:t>
      </w:r>
      <w:r w:rsidRPr="00E24309">
        <w:rPr>
          <w:rFonts w:ascii="Times New Roman" w:hAnsi="Times New Roman" w:cs="Times New Roman"/>
          <w:b/>
          <w:iCs/>
          <w:sz w:val="24"/>
          <w:szCs w:val="24"/>
        </w:rPr>
        <w:t xml:space="preserve"> sayılı Kurul Kararı ile)</w:t>
      </w:r>
      <w:r>
        <w:rPr>
          <w:rFonts w:ascii="Times New Roman" w:hAnsi="Times New Roman" w:cs="Times New Roman"/>
          <w:b/>
          <w:iCs/>
          <w:sz w:val="24"/>
          <w:szCs w:val="24"/>
        </w:rPr>
        <w:t xml:space="preserve"> </w:t>
      </w:r>
      <w:r w:rsidRPr="00E24309">
        <w:rPr>
          <w:rFonts w:ascii="Times New Roman" w:hAnsi="Times New Roman" w:cs="Times New Roman"/>
          <w:iCs/>
          <w:sz w:val="24"/>
          <w:szCs w:val="24"/>
        </w:rPr>
        <w:t>Borçlanma Araçları Şemsiye Fonu’na bağlı ihraç edilen fonlar tarafından Fon Tebliği’nin 6’ncı maddesinin birinci fıkrasının (a) bendi uyarınca %80 oranının hesaplanmasında yerli kamu ve özel sektör kira sertifikaları da dahil edilir.</w:t>
      </w:r>
    </w:p>
    <w:p w:rsidR="00336C1C" w:rsidRPr="00336C1C" w:rsidRDefault="00336C1C" w:rsidP="00336C1C">
      <w:pPr>
        <w:pStyle w:val="ListParagraph"/>
        <w:rPr>
          <w:rFonts w:ascii="Times New Roman" w:eastAsia="Times New Roman" w:hAnsi="Times New Roman" w:cs="Times New Roman"/>
          <w:sz w:val="24"/>
          <w:szCs w:val="24"/>
          <w:lang w:eastAsia="tr-TR"/>
        </w:rPr>
      </w:pPr>
    </w:p>
    <w:p w:rsidR="00336C1C" w:rsidRDefault="00336C1C" w:rsidP="00D468D9">
      <w:pPr>
        <w:pStyle w:val="ListParagraph"/>
        <w:numPr>
          <w:ilvl w:val="0"/>
          <w:numId w:val="56"/>
        </w:numPr>
        <w:jc w:val="both"/>
        <w:rPr>
          <w:rFonts w:ascii="Times New Roman" w:eastAsia="Times New Roman" w:hAnsi="Times New Roman" w:cs="Times New Roman"/>
          <w:sz w:val="24"/>
          <w:szCs w:val="24"/>
          <w:lang w:eastAsia="tr-TR"/>
        </w:rPr>
      </w:pPr>
      <w:r w:rsidRPr="00E24309">
        <w:rPr>
          <w:rFonts w:ascii="Times New Roman" w:hAnsi="Times New Roman" w:cs="Times New Roman"/>
          <w:b/>
          <w:iCs/>
          <w:sz w:val="24"/>
          <w:szCs w:val="24"/>
        </w:rPr>
        <w:t xml:space="preserve">(Ek bent: </w:t>
      </w:r>
      <w:r>
        <w:rPr>
          <w:rFonts w:ascii="Times New Roman" w:hAnsi="Times New Roman" w:cs="Times New Roman"/>
          <w:b/>
          <w:iCs/>
          <w:sz w:val="24"/>
          <w:szCs w:val="24"/>
        </w:rPr>
        <w:t>29.09.2022</w:t>
      </w:r>
      <w:r w:rsidRPr="00E24309">
        <w:rPr>
          <w:rFonts w:ascii="Times New Roman" w:hAnsi="Times New Roman" w:cs="Times New Roman"/>
          <w:b/>
          <w:iCs/>
          <w:sz w:val="24"/>
          <w:szCs w:val="24"/>
        </w:rPr>
        <w:t xml:space="preserve"> tarih ve </w:t>
      </w:r>
      <w:r>
        <w:rPr>
          <w:rFonts w:ascii="Times New Roman" w:hAnsi="Times New Roman" w:cs="Times New Roman"/>
          <w:b/>
          <w:iCs/>
          <w:sz w:val="24"/>
          <w:szCs w:val="24"/>
        </w:rPr>
        <w:t>54/1446</w:t>
      </w:r>
      <w:r w:rsidRPr="00E24309">
        <w:rPr>
          <w:rFonts w:ascii="Times New Roman" w:hAnsi="Times New Roman" w:cs="Times New Roman"/>
          <w:b/>
          <w:iCs/>
          <w:sz w:val="24"/>
          <w:szCs w:val="24"/>
        </w:rPr>
        <w:t xml:space="preserve"> sayılı Kurul Kararı ile)</w:t>
      </w:r>
      <w:r>
        <w:rPr>
          <w:rFonts w:ascii="Times New Roman" w:hAnsi="Times New Roman" w:cs="Times New Roman"/>
          <w:b/>
          <w:iCs/>
          <w:sz w:val="24"/>
          <w:szCs w:val="24"/>
        </w:rPr>
        <w:t xml:space="preserve"> </w:t>
      </w:r>
      <w:r w:rsidRPr="00336C1C">
        <w:rPr>
          <w:rFonts w:ascii="Times New Roman" w:eastAsia="Times New Roman" w:hAnsi="Times New Roman" w:cs="Times New Roman"/>
          <w:sz w:val="24"/>
          <w:szCs w:val="24"/>
          <w:lang w:eastAsia="tr-TR"/>
        </w:rPr>
        <w:t>Unvanında "altın", "gümüş" ve "kıymetli madenler" ibareleri yer alan fonlar tarafından ilgili kıymetli madene dayalı vadeli/vadesiz mevduat/katılma hesaplarına yatırılan tutarlar fon</w:t>
      </w:r>
      <w:r>
        <w:rPr>
          <w:rFonts w:ascii="Times New Roman" w:eastAsia="Times New Roman" w:hAnsi="Times New Roman" w:cs="Times New Roman"/>
          <w:sz w:val="24"/>
          <w:szCs w:val="24"/>
          <w:lang w:eastAsia="tr-TR"/>
        </w:rPr>
        <w:t xml:space="preserve"> </w:t>
      </w:r>
      <w:r w:rsidRPr="00336C1C">
        <w:rPr>
          <w:rFonts w:ascii="Times New Roman" w:eastAsia="Times New Roman" w:hAnsi="Times New Roman" w:cs="Times New Roman"/>
          <w:sz w:val="24"/>
          <w:szCs w:val="24"/>
          <w:lang w:eastAsia="tr-TR"/>
        </w:rPr>
        <w:t>izahnamesinde yer alan %80 oranının hesaplanmasında dikkate alınır.</w:t>
      </w:r>
    </w:p>
    <w:p w:rsidR="00D468D9" w:rsidRPr="00D468D9" w:rsidRDefault="00D468D9" w:rsidP="00D468D9">
      <w:pPr>
        <w:pStyle w:val="ListParagraph"/>
        <w:rPr>
          <w:rFonts w:ascii="Times New Roman" w:eastAsia="Times New Roman" w:hAnsi="Times New Roman" w:cs="Times New Roman"/>
          <w:sz w:val="24"/>
          <w:szCs w:val="24"/>
          <w:lang w:eastAsia="tr-TR"/>
        </w:rPr>
      </w:pPr>
    </w:p>
    <w:p w:rsidR="00D468D9" w:rsidRPr="00336C1C" w:rsidRDefault="002B1E34" w:rsidP="00D468D9">
      <w:pPr>
        <w:pStyle w:val="ListParagraph"/>
        <w:numPr>
          <w:ilvl w:val="0"/>
          <w:numId w:val="56"/>
        </w:numPr>
        <w:jc w:val="both"/>
        <w:rPr>
          <w:rFonts w:ascii="Times New Roman" w:eastAsia="Times New Roman" w:hAnsi="Times New Roman" w:cs="Times New Roman"/>
          <w:sz w:val="24"/>
          <w:szCs w:val="24"/>
          <w:lang w:eastAsia="tr-TR"/>
        </w:rPr>
      </w:pPr>
      <w:r w:rsidRPr="00E24309">
        <w:rPr>
          <w:rFonts w:ascii="Times New Roman" w:hAnsi="Times New Roman" w:cs="Times New Roman"/>
          <w:b/>
          <w:iCs/>
          <w:sz w:val="24"/>
          <w:szCs w:val="24"/>
        </w:rPr>
        <w:t xml:space="preserve">(Ek bent: </w:t>
      </w:r>
      <w:r>
        <w:rPr>
          <w:rFonts w:ascii="Times New Roman" w:hAnsi="Times New Roman" w:cs="Times New Roman"/>
          <w:b/>
          <w:iCs/>
          <w:sz w:val="24"/>
          <w:szCs w:val="24"/>
        </w:rPr>
        <w:t>29.09.2022</w:t>
      </w:r>
      <w:r w:rsidRPr="00E24309">
        <w:rPr>
          <w:rFonts w:ascii="Times New Roman" w:hAnsi="Times New Roman" w:cs="Times New Roman"/>
          <w:b/>
          <w:iCs/>
          <w:sz w:val="24"/>
          <w:szCs w:val="24"/>
        </w:rPr>
        <w:t xml:space="preserve"> tarih ve </w:t>
      </w:r>
      <w:r>
        <w:rPr>
          <w:rFonts w:ascii="Times New Roman" w:hAnsi="Times New Roman" w:cs="Times New Roman"/>
          <w:b/>
          <w:iCs/>
          <w:sz w:val="24"/>
          <w:szCs w:val="24"/>
        </w:rPr>
        <w:t>54/1446</w:t>
      </w:r>
      <w:r w:rsidRPr="00E24309">
        <w:rPr>
          <w:rFonts w:ascii="Times New Roman" w:hAnsi="Times New Roman" w:cs="Times New Roman"/>
          <w:b/>
          <w:iCs/>
          <w:sz w:val="24"/>
          <w:szCs w:val="24"/>
        </w:rPr>
        <w:t xml:space="preserve"> sayılı Kurul Kararı ile)</w:t>
      </w:r>
      <w:r>
        <w:rPr>
          <w:rFonts w:ascii="Times New Roman" w:hAnsi="Times New Roman" w:cs="Times New Roman"/>
          <w:b/>
          <w:iCs/>
          <w:sz w:val="24"/>
          <w:szCs w:val="24"/>
        </w:rPr>
        <w:t xml:space="preserve"> </w:t>
      </w:r>
      <w:r w:rsidR="00D468D9" w:rsidRPr="00D468D9">
        <w:rPr>
          <w:rFonts w:ascii="Times New Roman" w:eastAsia="Times New Roman" w:hAnsi="Times New Roman" w:cs="Times New Roman"/>
          <w:sz w:val="24"/>
          <w:szCs w:val="24"/>
          <w:lang w:eastAsia="tr-TR"/>
        </w:rPr>
        <w:t>Unvanında “döviz” ibaresi yer alan serbest fonlar tarafından yurt içi bankalar nezdindeki döviz cinsi vadeli/vadesiz mevduat/katılma hesaplarına yatırılan tutarlar ile dövize ve döviz cinsi varlıklara dayalı türev araçların döviz cinsi nakit teminat ve primleri döviz cinsi varlıklar için aranan asgari %80 oranının hesaplanmasında dikkate alınır.</w:t>
      </w:r>
    </w:p>
    <w:p w:rsidR="002F3E65" w:rsidRPr="002F3E65" w:rsidRDefault="002F3E65" w:rsidP="002F3E65">
      <w:pPr>
        <w:pStyle w:val="ListParagraph"/>
        <w:rPr>
          <w:rFonts w:ascii="Times New Roman" w:eastAsia="Times New Roman" w:hAnsi="Times New Roman" w:cs="Times New Roman"/>
          <w:sz w:val="24"/>
          <w:szCs w:val="24"/>
          <w:lang w:eastAsia="tr-TR"/>
        </w:rPr>
      </w:pPr>
    </w:p>
    <w:p w:rsidR="002F3E65" w:rsidRPr="00E10C18" w:rsidRDefault="002F3E65" w:rsidP="002F3E65">
      <w:pPr>
        <w:pStyle w:val="ListParagraph"/>
        <w:ind w:left="0"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2) </w:t>
      </w:r>
      <w:r w:rsidRPr="002F3E65">
        <w:rPr>
          <w:rFonts w:ascii="Times New Roman" w:eastAsia="Times New Roman" w:hAnsi="Times New Roman" w:cs="Times New Roman"/>
          <w:b/>
          <w:sz w:val="24"/>
          <w:szCs w:val="24"/>
          <w:lang w:eastAsia="tr-TR"/>
        </w:rPr>
        <w:t>(Ek fıkra: 04.11.2021 tarih ve 56/1619 sayılı Kurul Kararı ile)</w:t>
      </w:r>
      <w:r>
        <w:rPr>
          <w:rFonts w:ascii="Times New Roman" w:eastAsia="Times New Roman" w:hAnsi="Times New Roman" w:cs="Times New Roman"/>
          <w:sz w:val="24"/>
          <w:szCs w:val="24"/>
          <w:lang w:eastAsia="tr-TR"/>
        </w:rPr>
        <w:t xml:space="preserve"> </w:t>
      </w:r>
      <w:r w:rsidRPr="002F3E65">
        <w:rPr>
          <w:rFonts w:ascii="Times New Roman" w:eastAsia="Times New Roman" w:hAnsi="Times New Roman" w:cs="Times New Roman"/>
          <w:sz w:val="24"/>
          <w:szCs w:val="24"/>
          <w:lang w:eastAsia="tr-TR"/>
        </w:rPr>
        <w:t>Garantili ve koruma amaçlı fonlar tarafından, özel sektör borçlanma araçlarına ve kira sertifikalarına yapılan yatırımlar için Fon Tebliği’nin 17. maddesinin üçüncü fıkrasında yer alan sınırlamalar uygulanmaz</w:t>
      </w:r>
      <w:r>
        <w:rPr>
          <w:rFonts w:ascii="Times New Roman" w:eastAsia="Times New Roman" w:hAnsi="Times New Roman" w:cs="Times New Roman"/>
          <w:sz w:val="24"/>
          <w:szCs w:val="24"/>
          <w:lang w:eastAsia="tr-TR"/>
        </w:rPr>
        <w:t>.</w:t>
      </w:r>
    </w:p>
    <w:p w:rsidR="003F2A4B" w:rsidRDefault="009129F5" w:rsidP="00BE2412">
      <w:pPr>
        <w:pStyle w:val="Heading1"/>
        <w:rPr>
          <w:rFonts w:cs="Times New Roman"/>
          <w:szCs w:val="24"/>
        </w:rPr>
      </w:pPr>
      <w:bookmarkStart w:id="96" w:name="_Toc384027600"/>
      <w:bookmarkStart w:id="97" w:name="_Toc384028688"/>
      <w:bookmarkStart w:id="98" w:name="_Toc384036492"/>
      <w:bookmarkStart w:id="99" w:name="_Toc384036588"/>
      <w:bookmarkStart w:id="100" w:name="_Toc384036924"/>
      <w:bookmarkStart w:id="101" w:name="_Toc384051232"/>
      <w:bookmarkStart w:id="102" w:name="_Toc384052230"/>
      <w:bookmarkStart w:id="103" w:name="_Toc384126011"/>
      <w:bookmarkStart w:id="104" w:name="_Toc384126098"/>
      <w:bookmarkStart w:id="105" w:name="_Toc384126525"/>
      <w:bookmarkStart w:id="106" w:name="_Toc130312539"/>
      <w:bookmarkStart w:id="107" w:name="_Toc130312671"/>
      <w:r>
        <w:t>4</w:t>
      </w:r>
      <w:r w:rsidR="00751208">
        <w:t>.</w:t>
      </w:r>
      <w:bookmarkEnd w:id="96"/>
      <w:bookmarkEnd w:id="97"/>
      <w:bookmarkEnd w:id="98"/>
      <w:bookmarkEnd w:id="99"/>
      <w:bookmarkEnd w:id="100"/>
      <w:bookmarkEnd w:id="101"/>
      <w:bookmarkEnd w:id="102"/>
      <w:bookmarkEnd w:id="103"/>
      <w:bookmarkEnd w:id="104"/>
      <w:bookmarkEnd w:id="105"/>
      <w:r w:rsidR="008E6A51">
        <w:t xml:space="preserve"> </w:t>
      </w:r>
      <w:r w:rsidR="00F079B7" w:rsidRPr="00A60A07">
        <w:rPr>
          <w:rFonts w:cs="Times New Roman"/>
          <w:szCs w:val="24"/>
        </w:rPr>
        <w:t xml:space="preserve">Fon Portföyünü Oluşturan Varlık </w:t>
      </w:r>
      <w:r w:rsidR="003F2A4B" w:rsidRPr="00A60A07">
        <w:rPr>
          <w:rFonts w:cs="Times New Roman"/>
          <w:szCs w:val="24"/>
        </w:rPr>
        <w:t>v</w:t>
      </w:r>
      <w:r w:rsidR="00F079B7" w:rsidRPr="00A60A07">
        <w:rPr>
          <w:rFonts w:cs="Times New Roman"/>
          <w:szCs w:val="24"/>
        </w:rPr>
        <w:t>e İşlemler</w:t>
      </w:r>
      <w:r w:rsidR="007B3CF7" w:rsidRPr="00A60A07">
        <w:rPr>
          <w:rFonts w:cs="Times New Roman"/>
          <w:szCs w:val="24"/>
        </w:rPr>
        <w:t>e İlişkin Esaslar</w:t>
      </w:r>
      <w:bookmarkEnd w:id="106"/>
      <w:bookmarkEnd w:id="107"/>
    </w:p>
    <w:p w:rsidR="00D86610" w:rsidRDefault="005E48E3" w:rsidP="00D37727">
      <w:pPr>
        <w:spacing w:before="240"/>
        <w:ind w:firstLine="708"/>
        <w:jc w:val="both"/>
        <w:rPr>
          <w:rFonts w:ascii="Times New Roman" w:hAnsi="Times New Roman" w:cs="Times New Roman"/>
          <w:sz w:val="24"/>
          <w:szCs w:val="24"/>
          <w:lang w:eastAsia="tr-TR"/>
        </w:rPr>
      </w:pPr>
      <w:r w:rsidRPr="00B9383D">
        <w:rPr>
          <w:rFonts w:ascii="Times New Roman" w:hAnsi="Times New Roman" w:cs="Times New Roman"/>
          <w:sz w:val="24"/>
          <w:szCs w:val="24"/>
        </w:rPr>
        <w:t>Fon Tebliği uyarınca f</w:t>
      </w:r>
      <w:r w:rsidR="00557FC1" w:rsidRPr="00B9383D">
        <w:rPr>
          <w:rFonts w:ascii="Times New Roman" w:hAnsi="Times New Roman" w:cs="Times New Roman"/>
          <w:sz w:val="24"/>
          <w:szCs w:val="24"/>
        </w:rPr>
        <w:t>on portföyüne</w:t>
      </w:r>
      <w:r w:rsidR="00566FD3">
        <w:rPr>
          <w:rFonts w:ascii="Times New Roman" w:hAnsi="Times New Roman" w:cs="Times New Roman"/>
          <w:sz w:val="24"/>
          <w:szCs w:val="24"/>
        </w:rPr>
        <w:t xml:space="preserve"> </w:t>
      </w:r>
      <w:r w:rsidR="00557FC1" w:rsidRPr="00B9383D">
        <w:rPr>
          <w:rFonts w:ascii="Times New Roman" w:hAnsi="Times New Roman" w:cs="Times New Roman"/>
          <w:sz w:val="24"/>
          <w:szCs w:val="24"/>
          <w:lang w:eastAsia="tr-TR"/>
        </w:rPr>
        <w:t xml:space="preserve">dahil edilebilecek varlık ve işlemleri </w:t>
      </w:r>
      <w:r w:rsidR="00AC27A6" w:rsidRPr="00B9383D">
        <w:rPr>
          <w:rFonts w:ascii="Times New Roman" w:hAnsi="Times New Roman" w:cs="Times New Roman"/>
          <w:sz w:val="24"/>
          <w:szCs w:val="24"/>
          <w:lang w:eastAsia="tr-TR"/>
        </w:rPr>
        <w:t xml:space="preserve">gösteren </w:t>
      </w:r>
      <w:r w:rsidR="00557FC1" w:rsidRPr="00B9383D">
        <w:rPr>
          <w:rFonts w:ascii="Times New Roman" w:hAnsi="Times New Roman" w:cs="Times New Roman"/>
          <w:sz w:val="24"/>
          <w:szCs w:val="24"/>
          <w:lang w:eastAsia="tr-TR"/>
        </w:rPr>
        <w:t xml:space="preserve">tablo </w:t>
      </w:r>
      <w:r w:rsidR="00FB4CB9" w:rsidRPr="00B9383D">
        <w:rPr>
          <w:rFonts w:ascii="Times New Roman" w:hAnsi="Times New Roman" w:cs="Times New Roman"/>
          <w:b/>
          <w:sz w:val="24"/>
          <w:szCs w:val="24"/>
          <w:lang w:eastAsia="tr-TR"/>
        </w:rPr>
        <w:t>Ek/1</w:t>
      </w:r>
      <w:r w:rsidR="00557FC1" w:rsidRPr="00B9383D">
        <w:rPr>
          <w:rFonts w:ascii="Times New Roman" w:hAnsi="Times New Roman" w:cs="Times New Roman"/>
          <w:sz w:val="24"/>
          <w:szCs w:val="24"/>
          <w:lang w:eastAsia="tr-TR"/>
        </w:rPr>
        <w:t>’de yer almaktadır.</w:t>
      </w:r>
    </w:p>
    <w:p w:rsidR="00FF0603" w:rsidRDefault="00FF0603" w:rsidP="00D37727">
      <w:pPr>
        <w:spacing w:before="240"/>
        <w:ind w:firstLine="708"/>
        <w:jc w:val="both"/>
        <w:rPr>
          <w:rFonts w:ascii="Times New Roman" w:hAnsi="Times New Roman" w:cs="Times New Roman"/>
          <w:sz w:val="24"/>
          <w:szCs w:val="24"/>
          <w:lang w:eastAsia="tr-TR"/>
        </w:rPr>
      </w:pPr>
    </w:p>
    <w:p w:rsidR="00CD585B" w:rsidRPr="00A60A07" w:rsidRDefault="009129F5" w:rsidP="00180CBC">
      <w:pPr>
        <w:pStyle w:val="Heading2"/>
        <w:spacing w:after="240"/>
      </w:pPr>
      <w:bookmarkStart w:id="108" w:name="_Toc130312540"/>
      <w:bookmarkStart w:id="109" w:name="_Toc130312672"/>
      <w:r>
        <w:rPr>
          <w:rFonts w:eastAsia="Times New Roman"/>
          <w:lang w:eastAsia="tr-TR"/>
        </w:rPr>
        <w:t>4</w:t>
      </w:r>
      <w:r w:rsidR="003B6307" w:rsidRPr="00A60A07">
        <w:rPr>
          <w:rFonts w:eastAsia="Times New Roman"/>
          <w:lang w:eastAsia="tr-TR"/>
        </w:rPr>
        <w:t>.1.</w:t>
      </w:r>
      <w:r w:rsidR="008E6A51">
        <w:rPr>
          <w:rFonts w:eastAsia="Times New Roman"/>
          <w:lang w:eastAsia="tr-TR"/>
        </w:rPr>
        <w:t xml:space="preserve"> </w:t>
      </w:r>
      <w:r w:rsidR="00D330E8" w:rsidRPr="0073360E">
        <w:t>Varlıklara</w:t>
      </w:r>
      <w:r w:rsidR="00D330E8" w:rsidRPr="00A60A07">
        <w:t xml:space="preserve"> İlişkin Esaslar</w:t>
      </w:r>
      <w:bookmarkEnd w:id="108"/>
      <w:bookmarkEnd w:id="109"/>
    </w:p>
    <w:p w:rsidR="00544FED" w:rsidRPr="0030254A" w:rsidRDefault="00544FED" w:rsidP="00544FED">
      <w:pPr>
        <w:pStyle w:val="Heading3"/>
        <w:spacing w:after="240"/>
        <w:jc w:val="both"/>
      </w:pPr>
      <w:bookmarkStart w:id="110" w:name="_Toc130312541"/>
      <w:bookmarkStart w:id="111" w:name="_Toc130312673"/>
      <w:r>
        <w:t>4</w:t>
      </w:r>
      <w:r w:rsidRPr="00FB2539">
        <w:t xml:space="preserve">.1.1. Türev Araçlara Yatırım Yapan Fonlarda </w:t>
      </w:r>
      <w:r>
        <w:t xml:space="preserve">İhraççı Sınırı </w:t>
      </w:r>
      <w:bookmarkStart w:id="112" w:name="_Toc384215170"/>
      <w:r w:rsidRPr="00FB2539">
        <w:t>Kontrolü</w:t>
      </w:r>
      <w:bookmarkEnd w:id="110"/>
      <w:bookmarkEnd w:id="111"/>
      <w:bookmarkEnd w:id="112"/>
    </w:p>
    <w:p w:rsidR="007A6AC5" w:rsidRDefault="00544FED" w:rsidP="007A6AC5">
      <w:pPr>
        <w:ind w:firstLine="708"/>
        <w:jc w:val="both"/>
        <w:rPr>
          <w:rFonts w:ascii="Times New Roman" w:hAnsi="Times New Roman" w:cs="Times New Roman"/>
          <w:sz w:val="24"/>
          <w:szCs w:val="24"/>
        </w:rPr>
      </w:pPr>
      <w:r w:rsidRPr="007A6AC5">
        <w:rPr>
          <w:rFonts w:ascii="Times New Roman" w:hAnsi="Times New Roman" w:cs="Times New Roman"/>
          <w:sz w:val="24"/>
          <w:szCs w:val="24"/>
        </w:rPr>
        <w:t>Fon Tebliği’nin 17’nci maddesinin birinci fıkrasının (a) bendinde “Fonun toplam değerinin %10’undan fazlası bir ihraççının para ve sermaye piyasası araçlarına ve bu araçlara dayalı türev araçlara yatırılamaz.” hükmü yer almaktadır.</w:t>
      </w:r>
    </w:p>
    <w:p w:rsidR="007A6AC5" w:rsidRPr="00011D98" w:rsidRDefault="007A6AC5" w:rsidP="007A6AC5">
      <w:pPr>
        <w:ind w:firstLine="708"/>
        <w:jc w:val="both"/>
        <w:rPr>
          <w:rFonts w:ascii="Times New Roman" w:hAnsi="Times New Roman" w:cs="Times New Roman"/>
          <w:sz w:val="24"/>
          <w:szCs w:val="24"/>
        </w:rPr>
      </w:pPr>
      <w:r w:rsidRPr="00011D98">
        <w:rPr>
          <w:rFonts w:ascii="Times New Roman" w:hAnsi="Times New Roman" w:cs="Times New Roman"/>
          <w:sz w:val="24"/>
          <w:szCs w:val="24"/>
        </w:rPr>
        <w:t>Söz konusu ihraççı sınırı kontrolü</w:t>
      </w:r>
      <w:r w:rsidR="00A6669D" w:rsidRPr="00011D98">
        <w:rPr>
          <w:rFonts w:ascii="Times New Roman" w:hAnsi="Times New Roman" w:cs="Times New Roman"/>
          <w:sz w:val="24"/>
          <w:szCs w:val="24"/>
        </w:rPr>
        <w:t xml:space="preserve"> </w:t>
      </w:r>
      <w:r w:rsidRPr="00011D98">
        <w:rPr>
          <w:rFonts w:ascii="Times New Roman" w:hAnsi="Times New Roman" w:cs="Times New Roman"/>
          <w:sz w:val="24"/>
          <w:szCs w:val="24"/>
        </w:rPr>
        <w:t>aşağıdaki esaslar çerçevesi</w:t>
      </w:r>
      <w:r w:rsidR="007A79B7" w:rsidRPr="00011D98">
        <w:rPr>
          <w:rFonts w:ascii="Times New Roman" w:hAnsi="Times New Roman" w:cs="Times New Roman"/>
          <w:sz w:val="24"/>
          <w:szCs w:val="24"/>
        </w:rPr>
        <w:t>n</w:t>
      </w:r>
      <w:r w:rsidRPr="00011D98">
        <w:rPr>
          <w:rFonts w:ascii="Times New Roman" w:hAnsi="Times New Roman" w:cs="Times New Roman"/>
          <w:sz w:val="24"/>
          <w:szCs w:val="24"/>
        </w:rPr>
        <w:t>de yapılır</w:t>
      </w:r>
      <w:r w:rsidR="00D10A4D" w:rsidRPr="00011D98">
        <w:rPr>
          <w:rFonts w:ascii="Times New Roman" w:hAnsi="Times New Roman" w:cs="Times New Roman"/>
          <w:sz w:val="24"/>
          <w:szCs w:val="24"/>
        </w:rPr>
        <w:t>:</w:t>
      </w:r>
    </w:p>
    <w:p w:rsidR="00544FED" w:rsidRPr="00011D98" w:rsidRDefault="007A6AC5" w:rsidP="0006161B">
      <w:pPr>
        <w:pStyle w:val="ListParagraph"/>
        <w:numPr>
          <w:ilvl w:val="0"/>
          <w:numId w:val="60"/>
        </w:numPr>
        <w:jc w:val="both"/>
        <w:rPr>
          <w:rFonts w:ascii="Times New Roman" w:hAnsi="Times New Roman" w:cs="Times New Roman"/>
          <w:sz w:val="24"/>
          <w:szCs w:val="24"/>
        </w:rPr>
      </w:pPr>
      <w:r w:rsidRPr="00011D98">
        <w:rPr>
          <w:rFonts w:ascii="Times New Roman" w:hAnsi="Times New Roman" w:cs="Times New Roman"/>
          <w:sz w:val="24"/>
          <w:szCs w:val="24"/>
        </w:rPr>
        <w:t>B</w:t>
      </w:r>
      <w:r w:rsidR="00714845" w:rsidRPr="00011D98">
        <w:rPr>
          <w:rFonts w:ascii="Times New Roman" w:hAnsi="Times New Roman" w:cs="Times New Roman"/>
          <w:sz w:val="24"/>
          <w:szCs w:val="24"/>
        </w:rPr>
        <w:t xml:space="preserve">ir </w:t>
      </w:r>
      <w:r w:rsidR="00544FED" w:rsidRPr="00011D98">
        <w:rPr>
          <w:rFonts w:ascii="Times New Roman" w:hAnsi="Times New Roman" w:cs="Times New Roman"/>
          <w:sz w:val="24"/>
          <w:szCs w:val="24"/>
        </w:rPr>
        <w:t xml:space="preserve">ihraççının para ve sermaye </w:t>
      </w:r>
      <w:r w:rsidR="00193EA3" w:rsidRPr="00011D98">
        <w:rPr>
          <w:rFonts w:ascii="Times New Roman" w:hAnsi="Times New Roman" w:cs="Times New Roman"/>
          <w:sz w:val="24"/>
          <w:szCs w:val="24"/>
        </w:rPr>
        <w:t xml:space="preserve">piyasası </w:t>
      </w:r>
      <w:r w:rsidR="00544FED" w:rsidRPr="00011D98">
        <w:rPr>
          <w:rFonts w:ascii="Times New Roman" w:hAnsi="Times New Roman" w:cs="Times New Roman"/>
          <w:sz w:val="24"/>
          <w:szCs w:val="24"/>
        </w:rPr>
        <w:t>araçlarına dayalı türev araç (varant ve sertifikalar</w:t>
      </w:r>
      <w:r w:rsidR="007662DA" w:rsidRPr="00011D98">
        <w:rPr>
          <w:rFonts w:ascii="Times New Roman" w:hAnsi="Times New Roman" w:cs="Times New Roman"/>
          <w:sz w:val="24"/>
          <w:szCs w:val="24"/>
        </w:rPr>
        <w:t xml:space="preserve"> ile saklı türev araçlar</w:t>
      </w:r>
      <w:r w:rsidR="00544FED" w:rsidRPr="00011D98">
        <w:rPr>
          <w:rFonts w:ascii="Times New Roman" w:hAnsi="Times New Roman" w:cs="Times New Roman"/>
          <w:sz w:val="24"/>
          <w:szCs w:val="24"/>
        </w:rPr>
        <w:t xml:space="preserve"> dahil) </w:t>
      </w:r>
      <w:r w:rsidR="00714845" w:rsidRPr="00011D98">
        <w:rPr>
          <w:rFonts w:ascii="Times New Roman" w:hAnsi="Times New Roman" w:cs="Times New Roman"/>
          <w:sz w:val="24"/>
          <w:szCs w:val="24"/>
        </w:rPr>
        <w:t xml:space="preserve">ve swap işlemleri ile </w:t>
      </w:r>
      <w:r w:rsidR="00544FED" w:rsidRPr="00011D98">
        <w:rPr>
          <w:rFonts w:ascii="Times New Roman" w:hAnsi="Times New Roman" w:cs="Times New Roman"/>
          <w:sz w:val="24"/>
          <w:szCs w:val="24"/>
        </w:rPr>
        <w:t>yaratılan</w:t>
      </w:r>
      <w:r w:rsidR="00566FD3" w:rsidRPr="00011D98">
        <w:rPr>
          <w:rFonts w:ascii="Times New Roman" w:hAnsi="Times New Roman" w:cs="Times New Roman"/>
          <w:sz w:val="24"/>
          <w:szCs w:val="24"/>
        </w:rPr>
        <w:t xml:space="preserve"> </w:t>
      </w:r>
      <w:r w:rsidRPr="00011D98">
        <w:rPr>
          <w:rFonts w:ascii="Times New Roman" w:hAnsi="Times New Roman" w:cs="Times New Roman"/>
          <w:sz w:val="24"/>
          <w:szCs w:val="24"/>
        </w:rPr>
        <w:t>pozisyonlar</w:t>
      </w:r>
      <w:r w:rsidR="00D415F7" w:rsidRPr="00011D98">
        <w:rPr>
          <w:rFonts w:ascii="Times New Roman" w:hAnsi="Times New Roman" w:cs="Times New Roman"/>
          <w:sz w:val="24"/>
          <w:szCs w:val="24"/>
        </w:rPr>
        <w:t>, bu Rehber’in (7.5.2.) nolu bölümünde yer alan örnekler</w:t>
      </w:r>
      <w:r w:rsidR="003F0847" w:rsidRPr="00011D98">
        <w:rPr>
          <w:rFonts w:ascii="Times New Roman" w:hAnsi="Times New Roman" w:cs="Times New Roman"/>
          <w:sz w:val="24"/>
          <w:szCs w:val="24"/>
        </w:rPr>
        <w:t>e uygun olarak</w:t>
      </w:r>
      <w:r w:rsidR="00D415F7" w:rsidRPr="00011D98">
        <w:rPr>
          <w:rFonts w:ascii="Times New Roman" w:hAnsi="Times New Roman" w:cs="Times New Roman"/>
          <w:sz w:val="24"/>
          <w:szCs w:val="24"/>
        </w:rPr>
        <w:t xml:space="preserve">, </w:t>
      </w:r>
      <w:r w:rsidR="00714845" w:rsidRPr="00011D98">
        <w:rPr>
          <w:rFonts w:ascii="Times New Roman" w:hAnsi="Times New Roman" w:cs="Times New Roman"/>
          <w:sz w:val="24"/>
          <w:szCs w:val="24"/>
        </w:rPr>
        <w:t xml:space="preserve">bu Rehber’in </w:t>
      </w:r>
      <w:r w:rsidR="00D415F7" w:rsidRPr="00011D98">
        <w:rPr>
          <w:rFonts w:ascii="Times New Roman" w:hAnsi="Times New Roman" w:cs="Times New Roman"/>
          <w:sz w:val="24"/>
          <w:szCs w:val="24"/>
        </w:rPr>
        <w:t>(7.5.3.) ve (7.5.4.) nolu bölümlerinde</w:t>
      </w:r>
      <w:r w:rsidR="003F0847" w:rsidRPr="00011D98">
        <w:rPr>
          <w:rFonts w:ascii="Times New Roman" w:hAnsi="Times New Roman" w:cs="Times New Roman"/>
          <w:sz w:val="24"/>
          <w:szCs w:val="24"/>
        </w:rPr>
        <w:t xml:space="preserve">ki </w:t>
      </w:r>
      <w:r w:rsidR="00D415F7" w:rsidRPr="00011D98">
        <w:rPr>
          <w:rFonts w:ascii="Times New Roman" w:hAnsi="Times New Roman" w:cs="Times New Roman"/>
          <w:sz w:val="24"/>
          <w:szCs w:val="24"/>
        </w:rPr>
        <w:t>netleştirme ve riskten korunma esaslarının</w:t>
      </w:r>
      <w:r w:rsidR="003F0847" w:rsidRPr="00011D98">
        <w:rPr>
          <w:rFonts w:ascii="Times New Roman" w:hAnsi="Times New Roman" w:cs="Times New Roman"/>
          <w:sz w:val="24"/>
          <w:szCs w:val="24"/>
        </w:rPr>
        <w:t xml:space="preserve"> da</w:t>
      </w:r>
      <w:r w:rsidR="00D415F7" w:rsidRPr="00011D98">
        <w:rPr>
          <w:rFonts w:ascii="Times New Roman" w:hAnsi="Times New Roman" w:cs="Times New Roman"/>
          <w:sz w:val="24"/>
          <w:szCs w:val="24"/>
        </w:rPr>
        <w:t xml:space="preserve"> dikkate alınması suretiyle</w:t>
      </w:r>
      <w:r w:rsidR="00A6669D" w:rsidRPr="00011D98">
        <w:rPr>
          <w:rFonts w:ascii="Times New Roman" w:hAnsi="Times New Roman" w:cs="Times New Roman"/>
          <w:sz w:val="24"/>
          <w:szCs w:val="24"/>
        </w:rPr>
        <w:t xml:space="preserve"> </w:t>
      </w:r>
      <w:r w:rsidR="00D415F7" w:rsidRPr="00011D98">
        <w:rPr>
          <w:rFonts w:ascii="Times New Roman" w:hAnsi="Times New Roman" w:cs="Times New Roman"/>
          <w:sz w:val="24"/>
          <w:szCs w:val="24"/>
        </w:rPr>
        <w:t>hesaplanır.</w:t>
      </w:r>
    </w:p>
    <w:p w:rsidR="00D10A4D" w:rsidRPr="00011D98" w:rsidRDefault="004E109C" w:rsidP="0006161B">
      <w:pPr>
        <w:pStyle w:val="ListParagraph"/>
        <w:numPr>
          <w:ilvl w:val="0"/>
          <w:numId w:val="60"/>
        </w:numPr>
        <w:jc w:val="both"/>
        <w:rPr>
          <w:rFonts w:ascii="Times New Roman" w:hAnsi="Times New Roman" w:cs="Times New Roman"/>
          <w:sz w:val="24"/>
          <w:szCs w:val="24"/>
        </w:rPr>
      </w:pPr>
      <w:r w:rsidRPr="00011D98">
        <w:rPr>
          <w:rFonts w:ascii="Times New Roman" w:hAnsi="Times New Roman" w:cs="Times New Roman"/>
          <w:sz w:val="24"/>
          <w:szCs w:val="24"/>
        </w:rPr>
        <w:t>Aynı ihraççının b</w:t>
      </w:r>
      <w:r w:rsidR="007A6AC5" w:rsidRPr="00011D98">
        <w:rPr>
          <w:rFonts w:ascii="Times New Roman" w:hAnsi="Times New Roman" w:cs="Times New Roman"/>
          <w:sz w:val="24"/>
          <w:szCs w:val="24"/>
        </w:rPr>
        <w:t>orsa dışında taraf ol</w:t>
      </w:r>
      <w:r w:rsidRPr="00011D98">
        <w:rPr>
          <w:rFonts w:ascii="Times New Roman" w:hAnsi="Times New Roman" w:cs="Times New Roman"/>
          <w:sz w:val="24"/>
          <w:szCs w:val="24"/>
        </w:rPr>
        <w:t xml:space="preserve">duğu </w:t>
      </w:r>
      <w:r w:rsidR="007A6AC5" w:rsidRPr="00011D98">
        <w:rPr>
          <w:rFonts w:ascii="Times New Roman" w:hAnsi="Times New Roman" w:cs="Times New Roman"/>
          <w:sz w:val="24"/>
          <w:szCs w:val="24"/>
        </w:rPr>
        <w:t>türev araç</w:t>
      </w:r>
      <w:r w:rsidR="003A60A8" w:rsidRPr="00011D98">
        <w:rPr>
          <w:rFonts w:ascii="Times New Roman" w:hAnsi="Times New Roman" w:cs="Times New Roman"/>
          <w:sz w:val="24"/>
          <w:szCs w:val="24"/>
        </w:rPr>
        <w:t xml:space="preserve"> </w:t>
      </w:r>
      <w:r w:rsidR="007A79B7" w:rsidRPr="00011D98">
        <w:rPr>
          <w:rFonts w:ascii="Times New Roman" w:hAnsi="Times New Roman" w:cs="Times New Roman"/>
          <w:sz w:val="24"/>
          <w:szCs w:val="24"/>
        </w:rPr>
        <w:t>(varant ve sertifikalar dahil)</w:t>
      </w:r>
      <w:r w:rsidR="00A6669D" w:rsidRPr="00011D98">
        <w:rPr>
          <w:rFonts w:ascii="Times New Roman" w:hAnsi="Times New Roman" w:cs="Times New Roman"/>
          <w:sz w:val="24"/>
          <w:szCs w:val="24"/>
        </w:rPr>
        <w:t xml:space="preserve"> </w:t>
      </w:r>
      <w:r w:rsidRPr="00011D98">
        <w:rPr>
          <w:rFonts w:ascii="Times New Roman" w:hAnsi="Times New Roman" w:cs="Times New Roman"/>
          <w:sz w:val="24"/>
          <w:szCs w:val="24"/>
        </w:rPr>
        <w:t xml:space="preserve">ve swap sözleşmelerine ilişkin olarak </w:t>
      </w:r>
      <w:r w:rsidR="007A6AC5" w:rsidRPr="00011D98">
        <w:rPr>
          <w:rFonts w:ascii="Times New Roman" w:hAnsi="Times New Roman" w:cs="Times New Roman"/>
          <w:sz w:val="24"/>
          <w:szCs w:val="24"/>
        </w:rPr>
        <w:t>Fon Tebliği’nin 17’nci maddesinin birinci fıkrasının (a) bendine ilişkin bir kontrol yapılma</w:t>
      </w:r>
      <w:r w:rsidR="00355DD6" w:rsidRPr="00011D98">
        <w:rPr>
          <w:rFonts w:ascii="Times New Roman" w:hAnsi="Times New Roman" w:cs="Times New Roman"/>
          <w:sz w:val="24"/>
          <w:szCs w:val="24"/>
        </w:rPr>
        <w:t>ksızın</w:t>
      </w:r>
      <w:r w:rsidR="00D73C7C" w:rsidRPr="00011D98">
        <w:rPr>
          <w:rFonts w:ascii="Times New Roman" w:hAnsi="Times New Roman" w:cs="Times New Roman"/>
          <w:sz w:val="24"/>
          <w:szCs w:val="24"/>
        </w:rPr>
        <w:t xml:space="preserve"> bu Rehber’in </w:t>
      </w:r>
      <w:r w:rsidR="007A79B7" w:rsidRPr="00011D98">
        <w:rPr>
          <w:rFonts w:ascii="Times New Roman" w:hAnsi="Times New Roman" w:cs="Times New Roman"/>
          <w:sz w:val="24"/>
          <w:szCs w:val="24"/>
        </w:rPr>
        <w:t>(</w:t>
      </w:r>
      <w:r w:rsidR="00D73C7C" w:rsidRPr="00011D98">
        <w:rPr>
          <w:rFonts w:ascii="Times New Roman" w:hAnsi="Times New Roman" w:cs="Times New Roman"/>
          <w:sz w:val="24"/>
          <w:szCs w:val="24"/>
        </w:rPr>
        <w:t>7.4.</w:t>
      </w:r>
      <w:r w:rsidR="007A79B7" w:rsidRPr="00011D98">
        <w:rPr>
          <w:rFonts w:ascii="Times New Roman" w:hAnsi="Times New Roman" w:cs="Times New Roman"/>
          <w:sz w:val="24"/>
          <w:szCs w:val="24"/>
        </w:rPr>
        <w:t>)</w:t>
      </w:r>
      <w:r w:rsidR="003A60A8" w:rsidRPr="00011D98">
        <w:rPr>
          <w:rFonts w:ascii="Times New Roman" w:hAnsi="Times New Roman" w:cs="Times New Roman"/>
          <w:sz w:val="24"/>
          <w:szCs w:val="24"/>
        </w:rPr>
        <w:t xml:space="preserve"> </w:t>
      </w:r>
      <w:r w:rsidR="00D73C7C" w:rsidRPr="00011D98">
        <w:rPr>
          <w:rFonts w:ascii="Times New Roman" w:hAnsi="Times New Roman" w:cs="Times New Roman"/>
          <w:sz w:val="24"/>
          <w:szCs w:val="24"/>
        </w:rPr>
        <w:t xml:space="preserve">nolu bölümünde belirtilen şekilde karşı taraf riski hesaplaması yapılır. </w:t>
      </w:r>
    </w:p>
    <w:p w:rsidR="00544FED" w:rsidRPr="00011D98" w:rsidRDefault="00544FED" w:rsidP="0006161B">
      <w:pPr>
        <w:pStyle w:val="ListParagraph"/>
        <w:numPr>
          <w:ilvl w:val="0"/>
          <w:numId w:val="60"/>
        </w:numPr>
        <w:jc w:val="both"/>
        <w:rPr>
          <w:rFonts w:ascii="Times New Roman" w:hAnsi="Times New Roman" w:cs="Times New Roman"/>
          <w:sz w:val="24"/>
          <w:szCs w:val="24"/>
        </w:rPr>
      </w:pPr>
      <w:r w:rsidRPr="00011D98">
        <w:rPr>
          <w:rFonts w:ascii="Times New Roman" w:hAnsi="Times New Roman" w:cs="Times New Roman"/>
          <w:sz w:val="24"/>
          <w:szCs w:val="24"/>
        </w:rPr>
        <w:t>Fon Tebliği’nin 17’nci maddesinin birinci fı</w:t>
      </w:r>
      <w:r w:rsidR="004E109C" w:rsidRPr="00011D98">
        <w:rPr>
          <w:rFonts w:ascii="Times New Roman" w:hAnsi="Times New Roman" w:cs="Times New Roman"/>
          <w:sz w:val="24"/>
          <w:szCs w:val="24"/>
        </w:rPr>
        <w:t>krasının (b) ve (c) bentlerinde belirtilen</w:t>
      </w:r>
      <w:r w:rsidRPr="00011D98">
        <w:rPr>
          <w:rFonts w:ascii="Times New Roman" w:hAnsi="Times New Roman" w:cs="Times New Roman"/>
          <w:sz w:val="24"/>
          <w:szCs w:val="24"/>
        </w:rPr>
        <w:t xml:space="preserve"> sınırlamalar</w:t>
      </w:r>
      <w:r w:rsidR="00D73C7C" w:rsidRPr="00011D98">
        <w:rPr>
          <w:rFonts w:ascii="Times New Roman" w:hAnsi="Times New Roman" w:cs="Times New Roman"/>
          <w:sz w:val="24"/>
          <w:szCs w:val="24"/>
        </w:rPr>
        <w:t>ın kontrolünde de</w:t>
      </w:r>
      <w:r w:rsidR="004E109C" w:rsidRPr="00011D98">
        <w:rPr>
          <w:rFonts w:ascii="Times New Roman" w:hAnsi="Times New Roman" w:cs="Times New Roman"/>
          <w:sz w:val="24"/>
          <w:szCs w:val="24"/>
        </w:rPr>
        <w:t>,</w:t>
      </w:r>
      <w:r w:rsidR="00BE064B" w:rsidRPr="00011D98">
        <w:rPr>
          <w:rFonts w:ascii="Times New Roman" w:hAnsi="Times New Roman" w:cs="Times New Roman"/>
          <w:sz w:val="24"/>
          <w:szCs w:val="24"/>
        </w:rPr>
        <w:t xml:space="preserve"> </w:t>
      </w:r>
      <w:r w:rsidR="004E109C" w:rsidRPr="00011D98">
        <w:rPr>
          <w:rFonts w:ascii="Times New Roman" w:hAnsi="Times New Roman" w:cs="Times New Roman"/>
          <w:sz w:val="24"/>
          <w:szCs w:val="24"/>
        </w:rPr>
        <w:t xml:space="preserve">aynı ihraççının para ve sermaye piyasası araçları ve bu araçlara dayalı </w:t>
      </w:r>
      <w:r w:rsidR="00D73C7C" w:rsidRPr="00011D98">
        <w:rPr>
          <w:rFonts w:ascii="Times New Roman" w:hAnsi="Times New Roman" w:cs="Times New Roman"/>
          <w:sz w:val="24"/>
          <w:szCs w:val="24"/>
        </w:rPr>
        <w:t>türev araç</w:t>
      </w:r>
      <w:r w:rsidR="00AA300C" w:rsidRPr="00011D98">
        <w:rPr>
          <w:rFonts w:ascii="Times New Roman" w:hAnsi="Times New Roman" w:cs="Times New Roman"/>
          <w:sz w:val="24"/>
          <w:szCs w:val="24"/>
        </w:rPr>
        <w:t xml:space="preserve"> (varant</w:t>
      </w:r>
      <w:r w:rsidR="00BE064B" w:rsidRPr="00011D98">
        <w:rPr>
          <w:rFonts w:ascii="Times New Roman" w:hAnsi="Times New Roman" w:cs="Times New Roman"/>
          <w:sz w:val="24"/>
          <w:szCs w:val="24"/>
        </w:rPr>
        <w:t xml:space="preserve"> </w:t>
      </w:r>
      <w:r w:rsidR="00AA300C" w:rsidRPr="00011D98">
        <w:rPr>
          <w:rFonts w:ascii="Times New Roman" w:hAnsi="Times New Roman" w:cs="Times New Roman"/>
          <w:sz w:val="24"/>
          <w:szCs w:val="24"/>
        </w:rPr>
        <w:t xml:space="preserve">ve sertifikalar </w:t>
      </w:r>
      <w:r w:rsidR="00C86E12" w:rsidRPr="00011D98">
        <w:rPr>
          <w:rFonts w:ascii="Times New Roman" w:hAnsi="Times New Roman" w:cs="Times New Roman"/>
          <w:sz w:val="24"/>
          <w:szCs w:val="24"/>
        </w:rPr>
        <w:t>ile saklı türev araçlar dahil</w:t>
      </w:r>
      <w:r w:rsidR="00AA300C" w:rsidRPr="00011D98">
        <w:rPr>
          <w:rFonts w:ascii="Times New Roman" w:hAnsi="Times New Roman" w:cs="Times New Roman"/>
          <w:sz w:val="24"/>
          <w:szCs w:val="24"/>
        </w:rPr>
        <w:t xml:space="preserve">) </w:t>
      </w:r>
      <w:r w:rsidR="00D73C7C" w:rsidRPr="00011D98">
        <w:rPr>
          <w:rFonts w:ascii="Times New Roman" w:hAnsi="Times New Roman" w:cs="Times New Roman"/>
          <w:sz w:val="24"/>
          <w:szCs w:val="24"/>
        </w:rPr>
        <w:t xml:space="preserve">ve swap işlemleri dikkate alınır ve </w:t>
      </w:r>
      <w:r w:rsidR="003F0847" w:rsidRPr="00011D98">
        <w:rPr>
          <w:rFonts w:ascii="Times New Roman" w:hAnsi="Times New Roman" w:cs="Times New Roman"/>
          <w:sz w:val="24"/>
          <w:szCs w:val="24"/>
        </w:rPr>
        <w:t xml:space="preserve">(a) bendinde yer alan </w:t>
      </w:r>
      <w:r w:rsidR="00294E88" w:rsidRPr="00011D98">
        <w:rPr>
          <w:rFonts w:ascii="Times New Roman" w:hAnsi="Times New Roman" w:cs="Times New Roman"/>
          <w:sz w:val="24"/>
          <w:szCs w:val="24"/>
        </w:rPr>
        <w:t xml:space="preserve">esaslar </w:t>
      </w:r>
      <w:r w:rsidR="003F0847" w:rsidRPr="00011D98">
        <w:rPr>
          <w:rFonts w:ascii="Times New Roman" w:hAnsi="Times New Roman" w:cs="Times New Roman"/>
          <w:sz w:val="24"/>
          <w:szCs w:val="24"/>
        </w:rPr>
        <w:t>çerçeve</w:t>
      </w:r>
      <w:r w:rsidR="00294E88" w:rsidRPr="00011D98">
        <w:rPr>
          <w:rFonts w:ascii="Times New Roman" w:hAnsi="Times New Roman" w:cs="Times New Roman"/>
          <w:sz w:val="24"/>
          <w:szCs w:val="24"/>
        </w:rPr>
        <w:t>sin</w:t>
      </w:r>
      <w:r w:rsidR="003F0847" w:rsidRPr="00011D98">
        <w:rPr>
          <w:rFonts w:ascii="Times New Roman" w:hAnsi="Times New Roman" w:cs="Times New Roman"/>
          <w:sz w:val="24"/>
          <w:szCs w:val="24"/>
        </w:rPr>
        <w:t xml:space="preserve">de hesaplama yapılır. </w:t>
      </w:r>
    </w:p>
    <w:p w:rsidR="00FD6052" w:rsidRPr="00011D98" w:rsidRDefault="00B55496" w:rsidP="0006161B">
      <w:pPr>
        <w:pStyle w:val="ListParagraph"/>
        <w:numPr>
          <w:ilvl w:val="0"/>
          <w:numId w:val="60"/>
        </w:numPr>
        <w:spacing w:line="240" w:lineRule="auto"/>
        <w:jc w:val="both"/>
        <w:rPr>
          <w:rFonts w:ascii="Times New Roman" w:eastAsia="Times New Roman" w:hAnsi="Times New Roman" w:cs="Times New Roman"/>
          <w:sz w:val="24"/>
          <w:szCs w:val="24"/>
          <w:lang w:eastAsia="tr-TR"/>
        </w:rPr>
      </w:pPr>
      <w:r w:rsidRPr="00011D98">
        <w:rPr>
          <w:rFonts w:ascii="Times New Roman" w:eastAsia="Times New Roman" w:hAnsi="Times New Roman" w:cs="Times New Roman"/>
          <w:sz w:val="24"/>
          <w:szCs w:val="24"/>
          <w:lang w:eastAsia="tr-TR"/>
        </w:rPr>
        <w:t>Saklı türev araç niteliği taşıması nedeniyle, k</w:t>
      </w:r>
      <w:r w:rsidR="00FD6052" w:rsidRPr="00011D98">
        <w:rPr>
          <w:rFonts w:ascii="Times New Roman" w:eastAsia="Times New Roman" w:hAnsi="Times New Roman" w:cs="Times New Roman"/>
          <w:sz w:val="24"/>
          <w:szCs w:val="24"/>
          <w:lang w:eastAsia="tr-TR"/>
        </w:rPr>
        <w:t>redi riskine</w:t>
      </w:r>
      <w:r w:rsidRPr="00011D98">
        <w:rPr>
          <w:rFonts w:ascii="Times New Roman" w:eastAsia="Times New Roman" w:hAnsi="Times New Roman" w:cs="Times New Roman"/>
          <w:sz w:val="24"/>
          <w:szCs w:val="24"/>
          <w:lang w:eastAsia="tr-TR"/>
        </w:rPr>
        <w:t xml:space="preserve"> dayalı yatırım aracı için</w:t>
      </w:r>
      <w:r w:rsidR="00FD6052" w:rsidRPr="00011D98">
        <w:rPr>
          <w:rFonts w:ascii="Times New Roman" w:eastAsia="Times New Roman" w:hAnsi="Times New Roman" w:cs="Times New Roman"/>
          <w:sz w:val="24"/>
          <w:szCs w:val="24"/>
          <w:lang w:eastAsia="tr-TR"/>
        </w:rPr>
        <w:t>, Fon Tebliği’nin 17’nci maddesinde yer alan %10’luk ihraççı limiti, hem ihraççı, hem de referans kuruluş</w:t>
      </w:r>
      <w:r w:rsidR="00FD6052" w:rsidRPr="00011D98">
        <w:rPr>
          <w:vertAlign w:val="superscript"/>
        </w:rPr>
        <w:footnoteReference w:id="4"/>
      </w:r>
      <w:r w:rsidR="00FD6052" w:rsidRPr="00011D98">
        <w:rPr>
          <w:rFonts w:ascii="Times New Roman" w:eastAsia="Times New Roman" w:hAnsi="Times New Roman" w:cs="Times New Roman"/>
          <w:sz w:val="24"/>
          <w:szCs w:val="24"/>
          <w:lang w:eastAsia="tr-TR"/>
        </w:rPr>
        <w:t xml:space="preserve"> için ayrı ayrı hesaplanır.</w:t>
      </w:r>
    </w:p>
    <w:p w:rsidR="003F0847" w:rsidRPr="003F0847" w:rsidRDefault="003F0847" w:rsidP="003F0847">
      <w:pPr>
        <w:pStyle w:val="ListParagraph"/>
        <w:spacing w:after="0" w:line="240" w:lineRule="auto"/>
        <w:ind w:left="993"/>
        <w:jc w:val="both"/>
        <w:rPr>
          <w:rFonts w:ascii="Times New Roman" w:hAnsi="Times New Roman" w:cs="Times New Roman"/>
          <w:sz w:val="24"/>
          <w:szCs w:val="24"/>
        </w:rPr>
      </w:pPr>
    </w:p>
    <w:p w:rsidR="00544FED" w:rsidRPr="008B53E2" w:rsidRDefault="00544FED" w:rsidP="00544FED">
      <w:pPr>
        <w:ind w:left="993" w:hanging="285"/>
        <w:jc w:val="both"/>
        <w:rPr>
          <w:rFonts w:ascii="Times New Roman" w:hAnsi="Times New Roman" w:cs="Times New Roman"/>
          <w:b/>
          <w:sz w:val="24"/>
          <w:szCs w:val="24"/>
        </w:rPr>
      </w:pPr>
      <w:r w:rsidRPr="008B53E2">
        <w:rPr>
          <w:rFonts w:ascii="Times New Roman" w:hAnsi="Times New Roman" w:cs="Times New Roman"/>
          <w:b/>
          <w:sz w:val="24"/>
          <w:szCs w:val="24"/>
        </w:rPr>
        <w:t xml:space="preserve">Örnek; </w:t>
      </w:r>
    </w:p>
    <w:p w:rsidR="00544FED" w:rsidRDefault="00544FED" w:rsidP="00544FED">
      <w:pPr>
        <w:ind w:left="993"/>
        <w:jc w:val="both"/>
        <w:rPr>
          <w:rFonts w:ascii="Times New Roman" w:hAnsi="Times New Roman" w:cs="Times New Roman"/>
          <w:sz w:val="24"/>
          <w:szCs w:val="24"/>
        </w:rPr>
      </w:pPr>
      <w:r>
        <w:rPr>
          <w:rFonts w:ascii="Times New Roman" w:hAnsi="Times New Roman" w:cs="Times New Roman"/>
          <w:sz w:val="24"/>
          <w:szCs w:val="24"/>
        </w:rPr>
        <w:t>Portföye aşağıdaki varlıklar dahil edilmiştir:</w:t>
      </w:r>
    </w:p>
    <w:p w:rsidR="00AA300C" w:rsidRPr="00E932C3" w:rsidRDefault="00AA300C" w:rsidP="0006161B">
      <w:pPr>
        <w:pStyle w:val="ListParagraph"/>
        <w:numPr>
          <w:ilvl w:val="0"/>
          <w:numId w:val="61"/>
        </w:numPr>
        <w:ind w:left="993"/>
        <w:jc w:val="both"/>
        <w:rPr>
          <w:rFonts w:ascii="Times New Roman" w:hAnsi="Times New Roman" w:cs="Times New Roman"/>
          <w:sz w:val="24"/>
          <w:szCs w:val="24"/>
        </w:rPr>
      </w:pPr>
      <w:r w:rsidRPr="00E932C3">
        <w:rPr>
          <w:rFonts w:ascii="Times New Roman" w:hAnsi="Times New Roman" w:cs="Times New Roman"/>
          <w:sz w:val="24"/>
          <w:szCs w:val="24"/>
        </w:rPr>
        <w:t>Spot piyasada; 20.000 TL tutarında</w:t>
      </w:r>
      <w:r w:rsidR="003A60A8">
        <w:rPr>
          <w:rFonts w:ascii="Times New Roman" w:hAnsi="Times New Roman" w:cs="Times New Roman"/>
          <w:sz w:val="24"/>
          <w:szCs w:val="24"/>
        </w:rPr>
        <w:t xml:space="preserve"> </w:t>
      </w:r>
      <w:r w:rsidR="00E932C3">
        <w:rPr>
          <w:rFonts w:ascii="Times New Roman" w:hAnsi="Times New Roman" w:cs="Times New Roman"/>
          <w:sz w:val="24"/>
          <w:szCs w:val="24"/>
        </w:rPr>
        <w:t>ABC</w:t>
      </w:r>
      <w:r w:rsidRPr="00E932C3">
        <w:rPr>
          <w:rFonts w:ascii="Times New Roman" w:hAnsi="Times New Roman" w:cs="Times New Roman"/>
          <w:sz w:val="24"/>
          <w:szCs w:val="24"/>
        </w:rPr>
        <w:t xml:space="preserve"> A.Ş. </w:t>
      </w:r>
      <w:r w:rsidR="00E932C3" w:rsidRPr="00E932C3">
        <w:rPr>
          <w:rFonts w:ascii="Times New Roman" w:hAnsi="Times New Roman" w:cs="Times New Roman"/>
          <w:sz w:val="24"/>
          <w:szCs w:val="24"/>
        </w:rPr>
        <w:t xml:space="preserve">30.000 TL tutarında </w:t>
      </w:r>
      <w:r w:rsidR="00E932C3">
        <w:rPr>
          <w:rFonts w:ascii="Times New Roman" w:hAnsi="Times New Roman" w:cs="Times New Roman"/>
          <w:sz w:val="24"/>
          <w:szCs w:val="24"/>
        </w:rPr>
        <w:t>DEF</w:t>
      </w:r>
      <w:r w:rsidR="00E932C3" w:rsidRPr="00E932C3">
        <w:rPr>
          <w:rFonts w:ascii="Times New Roman" w:hAnsi="Times New Roman" w:cs="Times New Roman"/>
          <w:sz w:val="24"/>
          <w:szCs w:val="24"/>
        </w:rPr>
        <w:t xml:space="preserve"> A.Ş. </w:t>
      </w:r>
      <w:r w:rsidR="00E932C3" w:rsidRPr="00AA300C">
        <w:rPr>
          <w:rFonts w:ascii="Times New Roman" w:hAnsi="Times New Roman" w:cs="Times New Roman"/>
          <w:sz w:val="24"/>
          <w:szCs w:val="24"/>
        </w:rPr>
        <w:t xml:space="preserve">ortaklık payları, </w:t>
      </w:r>
    </w:p>
    <w:p w:rsidR="00A449A8" w:rsidRDefault="00A449A8" w:rsidP="0006161B">
      <w:pPr>
        <w:pStyle w:val="ListParagraph"/>
        <w:numPr>
          <w:ilvl w:val="0"/>
          <w:numId w:val="61"/>
        </w:numPr>
        <w:ind w:left="993"/>
        <w:jc w:val="both"/>
        <w:rPr>
          <w:rFonts w:ascii="Times New Roman" w:hAnsi="Times New Roman" w:cs="Times New Roman"/>
          <w:sz w:val="24"/>
          <w:szCs w:val="24"/>
        </w:rPr>
      </w:pPr>
      <w:r>
        <w:rPr>
          <w:rFonts w:ascii="Times New Roman" w:hAnsi="Times New Roman" w:cs="Times New Roman"/>
          <w:sz w:val="24"/>
          <w:szCs w:val="24"/>
        </w:rPr>
        <w:t>Dayanak varlığı ABC</w:t>
      </w:r>
      <w:r w:rsidR="00E932C3">
        <w:rPr>
          <w:rFonts w:ascii="Times New Roman" w:hAnsi="Times New Roman" w:cs="Times New Roman"/>
          <w:sz w:val="24"/>
          <w:szCs w:val="24"/>
        </w:rPr>
        <w:t xml:space="preserve"> A.Ş. </w:t>
      </w:r>
      <w:r>
        <w:rPr>
          <w:rFonts w:ascii="Times New Roman" w:hAnsi="Times New Roman" w:cs="Times New Roman"/>
          <w:sz w:val="24"/>
          <w:szCs w:val="24"/>
        </w:rPr>
        <w:t xml:space="preserve">olan opsiyon sözleşmesi (uzun pozisyon), </w:t>
      </w:r>
    </w:p>
    <w:p w:rsidR="00A449A8" w:rsidRDefault="00A449A8" w:rsidP="0006161B">
      <w:pPr>
        <w:pStyle w:val="ListParagraph"/>
        <w:numPr>
          <w:ilvl w:val="0"/>
          <w:numId w:val="61"/>
        </w:numPr>
        <w:ind w:left="993"/>
        <w:jc w:val="both"/>
        <w:rPr>
          <w:rFonts w:ascii="Times New Roman" w:hAnsi="Times New Roman" w:cs="Times New Roman"/>
          <w:sz w:val="24"/>
          <w:szCs w:val="24"/>
        </w:rPr>
      </w:pPr>
      <w:r>
        <w:rPr>
          <w:rFonts w:ascii="Times New Roman" w:hAnsi="Times New Roman" w:cs="Times New Roman"/>
          <w:sz w:val="24"/>
          <w:szCs w:val="24"/>
        </w:rPr>
        <w:t xml:space="preserve">Dayanak varlığı DEF A.Ş. olan </w:t>
      </w:r>
      <w:r w:rsidR="00294E88">
        <w:rPr>
          <w:rFonts w:ascii="Times New Roman" w:hAnsi="Times New Roman" w:cs="Times New Roman"/>
          <w:sz w:val="24"/>
          <w:szCs w:val="24"/>
        </w:rPr>
        <w:t xml:space="preserve">vadeli işlem </w:t>
      </w:r>
      <w:r>
        <w:rPr>
          <w:rFonts w:ascii="Times New Roman" w:hAnsi="Times New Roman" w:cs="Times New Roman"/>
          <w:sz w:val="24"/>
          <w:szCs w:val="24"/>
        </w:rPr>
        <w:t>sözleşmesi</w:t>
      </w:r>
      <w:r w:rsidR="003A60A8">
        <w:rPr>
          <w:rFonts w:ascii="Times New Roman" w:hAnsi="Times New Roman" w:cs="Times New Roman"/>
          <w:sz w:val="24"/>
          <w:szCs w:val="24"/>
        </w:rPr>
        <w:t xml:space="preserve"> </w:t>
      </w:r>
      <w:r w:rsidR="00294E88">
        <w:rPr>
          <w:rFonts w:ascii="Times New Roman" w:hAnsi="Times New Roman" w:cs="Times New Roman"/>
          <w:sz w:val="24"/>
          <w:szCs w:val="24"/>
        </w:rPr>
        <w:t>(forward)</w:t>
      </w:r>
      <w:r>
        <w:rPr>
          <w:rFonts w:ascii="Times New Roman" w:hAnsi="Times New Roman" w:cs="Times New Roman"/>
          <w:sz w:val="24"/>
          <w:szCs w:val="24"/>
        </w:rPr>
        <w:t xml:space="preserve"> (kısa pozisyon), </w:t>
      </w:r>
    </w:p>
    <w:p w:rsidR="00A449A8" w:rsidRDefault="00A449A8" w:rsidP="00A449A8">
      <w:pPr>
        <w:pStyle w:val="ListParagraph"/>
        <w:ind w:left="993"/>
        <w:jc w:val="both"/>
        <w:rPr>
          <w:rFonts w:ascii="Times New Roman" w:hAnsi="Times New Roman" w:cs="Times New Roman"/>
          <w:sz w:val="24"/>
          <w:szCs w:val="24"/>
        </w:rPr>
      </w:pPr>
    </w:p>
    <w:p w:rsidR="00A449A8" w:rsidRDefault="00A449A8" w:rsidP="00A449A8">
      <w:pPr>
        <w:pStyle w:val="ListParagraph"/>
        <w:ind w:left="993"/>
        <w:jc w:val="both"/>
        <w:rPr>
          <w:rFonts w:ascii="Times New Roman" w:hAnsi="Times New Roman" w:cs="Times New Roman"/>
          <w:sz w:val="24"/>
          <w:szCs w:val="24"/>
        </w:rPr>
      </w:pPr>
      <w:r w:rsidRPr="007A6AC5">
        <w:rPr>
          <w:rFonts w:ascii="Times New Roman" w:hAnsi="Times New Roman" w:cs="Times New Roman"/>
          <w:sz w:val="24"/>
          <w:szCs w:val="24"/>
        </w:rPr>
        <w:t>Fon Tebliği’nin 17’nci maddesinin</w:t>
      </w:r>
      <w:r>
        <w:rPr>
          <w:rFonts w:ascii="Times New Roman" w:hAnsi="Times New Roman" w:cs="Times New Roman"/>
          <w:sz w:val="24"/>
          <w:szCs w:val="24"/>
        </w:rPr>
        <w:t xml:space="preserve"> birinci fıkrasının (a)</w:t>
      </w:r>
      <w:r w:rsidR="00967B04">
        <w:rPr>
          <w:rFonts w:ascii="Times New Roman" w:hAnsi="Times New Roman" w:cs="Times New Roman"/>
          <w:sz w:val="24"/>
          <w:szCs w:val="24"/>
        </w:rPr>
        <w:t>, (b) ve (c)</w:t>
      </w:r>
      <w:r>
        <w:rPr>
          <w:rFonts w:ascii="Times New Roman" w:hAnsi="Times New Roman" w:cs="Times New Roman"/>
          <w:sz w:val="24"/>
          <w:szCs w:val="24"/>
        </w:rPr>
        <w:t xml:space="preserve"> ben</w:t>
      </w:r>
      <w:r w:rsidR="00967B04">
        <w:rPr>
          <w:rFonts w:ascii="Times New Roman" w:hAnsi="Times New Roman" w:cs="Times New Roman"/>
          <w:sz w:val="24"/>
          <w:szCs w:val="24"/>
        </w:rPr>
        <w:t>tler</w:t>
      </w:r>
      <w:r>
        <w:rPr>
          <w:rFonts w:ascii="Times New Roman" w:hAnsi="Times New Roman" w:cs="Times New Roman"/>
          <w:sz w:val="24"/>
          <w:szCs w:val="24"/>
        </w:rPr>
        <w:t xml:space="preserve">i çerçevesinde ihraççı sınırı kontrolü yapılırken; </w:t>
      </w:r>
      <w:r w:rsidR="00AA300C" w:rsidRPr="00A449A8">
        <w:rPr>
          <w:rFonts w:ascii="Times New Roman" w:hAnsi="Times New Roman" w:cs="Times New Roman"/>
          <w:sz w:val="24"/>
          <w:szCs w:val="24"/>
        </w:rPr>
        <w:t xml:space="preserve">Rehber’in </w:t>
      </w:r>
      <w:r w:rsidR="00294E88">
        <w:rPr>
          <w:rFonts w:ascii="Times New Roman" w:hAnsi="Times New Roman" w:cs="Times New Roman"/>
          <w:sz w:val="24"/>
          <w:szCs w:val="24"/>
        </w:rPr>
        <w:t>(</w:t>
      </w:r>
      <w:r w:rsidR="00AA300C" w:rsidRPr="00A449A8">
        <w:rPr>
          <w:rFonts w:ascii="Times New Roman" w:hAnsi="Times New Roman" w:cs="Times New Roman"/>
          <w:sz w:val="24"/>
          <w:szCs w:val="24"/>
        </w:rPr>
        <w:t>7.5.</w:t>
      </w:r>
      <w:r>
        <w:rPr>
          <w:rFonts w:ascii="Times New Roman" w:hAnsi="Times New Roman" w:cs="Times New Roman"/>
          <w:sz w:val="24"/>
          <w:szCs w:val="24"/>
        </w:rPr>
        <w:t>2</w:t>
      </w:r>
      <w:r w:rsidR="00294E88">
        <w:rPr>
          <w:rFonts w:ascii="Times New Roman" w:hAnsi="Times New Roman" w:cs="Times New Roman"/>
          <w:sz w:val="24"/>
          <w:szCs w:val="24"/>
        </w:rPr>
        <w:t>)</w:t>
      </w:r>
      <w:r w:rsidR="003A60A8">
        <w:rPr>
          <w:rFonts w:ascii="Times New Roman" w:hAnsi="Times New Roman" w:cs="Times New Roman"/>
          <w:sz w:val="24"/>
          <w:szCs w:val="24"/>
        </w:rPr>
        <w:t xml:space="preserve"> </w:t>
      </w:r>
      <w:r w:rsidR="00544FED" w:rsidRPr="00A449A8">
        <w:rPr>
          <w:rFonts w:ascii="Times New Roman" w:hAnsi="Times New Roman" w:cs="Times New Roman"/>
          <w:sz w:val="24"/>
          <w:szCs w:val="24"/>
        </w:rPr>
        <w:t xml:space="preserve">nolu bölümünde yer alan </w:t>
      </w:r>
      <w:r>
        <w:rPr>
          <w:rFonts w:ascii="Times New Roman" w:hAnsi="Times New Roman" w:cs="Times New Roman"/>
          <w:sz w:val="24"/>
          <w:szCs w:val="24"/>
        </w:rPr>
        <w:t>örnek hesaplam</w:t>
      </w:r>
      <w:r w:rsidR="007E2D49">
        <w:rPr>
          <w:rFonts w:ascii="Times New Roman" w:hAnsi="Times New Roman" w:cs="Times New Roman"/>
          <w:sz w:val="24"/>
          <w:szCs w:val="24"/>
        </w:rPr>
        <w:t>a</w:t>
      </w:r>
      <w:r>
        <w:rPr>
          <w:rFonts w:ascii="Times New Roman" w:hAnsi="Times New Roman" w:cs="Times New Roman"/>
          <w:sz w:val="24"/>
          <w:szCs w:val="24"/>
        </w:rPr>
        <w:t xml:space="preserve">lar çerçevesinde, türev araç işlemlerine ilişkin olarak pozisyon hesaplaması yapılır. </w:t>
      </w:r>
    </w:p>
    <w:p w:rsidR="00A449A8" w:rsidRDefault="00A449A8" w:rsidP="00A449A8">
      <w:pPr>
        <w:pStyle w:val="ListParagraph"/>
        <w:ind w:left="993"/>
        <w:jc w:val="both"/>
        <w:rPr>
          <w:rFonts w:ascii="Times New Roman" w:hAnsi="Times New Roman" w:cs="Times New Roman"/>
          <w:sz w:val="24"/>
          <w:szCs w:val="24"/>
        </w:rPr>
      </w:pPr>
      <w:r>
        <w:rPr>
          <w:rFonts w:ascii="Times New Roman" w:hAnsi="Times New Roman" w:cs="Times New Roman"/>
          <w:sz w:val="24"/>
          <w:szCs w:val="24"/>
        </w:rPr>
        <w:t>ABC</w:t>
      </w:r>
      <w:r w:rsidR="003A60A8">
        <w:rPr>
          <w:rFonts w:ascii="Times New Roman" w:hAnsi="Times New Roman" w:cs="Times New Roman"/>
          <w:sz w:val="24"/>
          <w:szCs w:val="24"/>
        </w:rPr>
        <w:t xml:space="preserve"> </w:t>
      </w:r>
      <w:r w:rsidR="00544FED" w:rsidRPr="00A449A8">
        <w:rPr>
          <w:rFonts w:ascii="Times New Roman" w:hAnsi="Times New Roman" w:cs="Times New Roman"/>
          <w:sz w:val="24"/>
          <w:szCs w:val="24"/>
        </w:rPr>
        <w:t>A.Ş.</w:t>
      </w:r>
      <w:r w:rsidR="00015C85">
        <w:rPr>
          <w:rFonts w:ascii="Times New Roman" w:hAnsi="Times New Roman" w:cs="Times New Roman"/>
          <w:sz w:val="24"/>
          <w:szCs w:val="24"/>
        </w:rPr>
        <w:t>’ye dayalı opsiyon sözleşmesi</w:t>
      </w:r>
      <w:r w:rsidR="00544FED" w:rsidRPr="00A449A8">
        <w:rPr>
          <w:rFonts w:ascii="Times New Roman" w:hAnsi="Times New Roman" w:cs="Times New Roman"/>
          <w:sz w:val="24"/>
          <w:szCs w:val="24"/>
        </w:rPr>
        <w:t xml:space="preserve"> için hesaplanan poz</w:t>
      </w:r>
      <w:r>
        <w:rPr>
          <w:rFonts w:ascii="Times New Roman" w:hAnsi="Times New Roman" w:cs="Times New Roman"/>
          <w:sz w:val="24"/>
          <w:szCs w:val="24"/>
        </w:rPr>
        <w:t>isyon 4</w:t>
      </w:r>
      <w:r w:rsidR="00544FED" w:rsidRPr="00A449A8">
        <w:rPr>
          <w:rFonts w:ascii="Times New Roman" w:hAnsi="Times New Roman" w:cs="Times New Roman"/>
          <w:sz w:val="24"/>
          <w:szCs w:val="24"/>
        </w:rPr>
        <w:t>0.000 TL</w:t>
      </w:r>
      <w:r>
        <w:rPr>
          <w:rFonts w:ascii="Times New Roman" w:hAnsi="Times New Roman" w:cs="Times New Roman"/>
          <w:sz w:val="24"/>
          <w:szCs w:val="24"/>
        </w:rPr>
        <w:t xml:space="preserve">, </w:t>
      </w:r>
    </w:p>
    <w:p w:rsidR="00544FED" w:rsidRDefault="00A449A8" w:rsidP="00A449A8">
      <w:pPr>
        <w:pStyle w:val="ListParagraph"/>
        <w:ind w:left="993"/>
        <w:jc w:val="both"/>
        <w:rPr>
          <w:rFonts w:ascii="Times New Roman" w:hAnsi="Times New Roman" w:cs="Times New Roman"/>
          <w:sz w:val="24"/>
          <w:szCs w:val="24"/>
        </w:rPr>
      </w:pPr>
      <w:r>
        <w:rPr>
          <w:rFonts w:ascii="Times New Roman" w:hAnsi="Times New Roman" w:cs="Times New Roman"/>
          <w:sz w:val="24"/>
          <w:szCs w:val="24"/>
        </w:rPr>
        <w:t>DEF A.Ş.</w:t>
      </w:r>
      <w:r w:rsidR="00015C85">
        <w:rPr>
          <w:rFonts w:ascii="Times New Roman" w:hAnsi="Times New Roman" w:cs="Times New Roman"/>
          <w:sz w:val="24"/>
          <w:szCs w:val="24"/>
        </w:rPr>
        <w:t>’ye dayalı</w:t>
      </w:r>
      <w:r w:rsidR="00A6669D">
        <w:rPr>
          <w:rFonts w:ascii="Times New Roman" w:hAnsi="Times New Roman" w:cs="Times New Roman"/>
          <w:sz w:val="24"/>
          <w:szCs w:val="24"/>
        </w:rPr>
        <w:t xml:space="preserve"> </w:t>
      </w:r>
      <w:r w:rsidR="00015C85">
        <w:rPr>
          <w:rFonts w:ascii="Times New Roman" w:hAnsi="Times New Roman" w:cs="Times New Roman"/>
          <w:sz w:val="24"/>
          <w:szCs w:val="24"/>
        </w:rPr>
        <w:t xml:space="preserve">forward sözleşmesi </w:t>
      </w:r>
      <w:r w:rsidRPr="00A449A8">
        <w:rPr>
          <w:rFonts w:ascii="Times New Roman" w:hAnsi="Times New Roman" w:cs="Times New Roman"/>
          <w:sz w:val="24"/>
          <w:szCs w:val="24"/>
        </w:rPr>
        <w:t>için hesaplanan poz</w:t>
      </w:r>
      <w:r>
        <w:rPr>
          <w:rFonts w:ascii="Times New Roman" w:hAnsi="Times New Roman" w:cs="Times New Roman"/>
          <w:sz w:val="24"/>
          <w:szCs w:val="24"/>
        </w:rPr>
        <w:t xml:space="preserve">isyon - 10.000 TL’dir. </w:t>
      </w:r>
    </w:p>
    <w:p w:rsidR="007E2D49" w:rsidRDefault="007E2D49" w:rsidP="00A449A8">
      <w:pPr>
        <w:pStyle w:val="ListParagraph"/>
        <w:ind w:left="993"/>
        <w:jc w:val="both"/>
        <w:rPr>
          <w:rFonts w:ascii="Times New Roman" w:hAnsi="Times New Roman" w:cs="Times New Roman"/>
          <w:sz w:val="24"/>
          <w:szCs w:val="24"/>
        </w:rPr>
      </w:pPr>
    </w:p>
    <w:p w:rsidR="00A449A8" w:rsidRDefault="00A449A8" w:rsidP="0006161B">
      <w:pPr>
        <w:pStyle w:val="ListParagraph"/>
        <w:numPr>
          <w:ilvl w:val="0"/>
          <w:numId w:val="61"/>
        </w:numPr>
        <w:ind w:left="993"/>
        <w:jc w:val="both"/>
        <w:rPr>
          <w:rFonts w:ascii="Times New Roman" w:hAnsi="Times New Roman" w:cs="Times New Roman"/>
          <w:sz w:val="24"/>
          <w:szCs w:val="24"/>
        </w:rPr>
      </w:pPr>
      <w:r>
        <w:rPr>
          <w:rFonts w:ascii="Times New Roman" w:hAnsi="Times New Roman" w:cs="Times New Roman"/>
          <w:sz w:val="24"/>
          <w:szCs w:val="24"/>
        </w:rPr>
        <w:t xml:space="preserve">Bu Rehber’in 7.5.1/(a/ii) bölümünde yer alan esaslar çerçevesinde </w:t>
      </w:r>
      <w:r w:rsidR="007E2D49">
        <w:rPr>
          <w:rFonts w:ascii="Times New Roman" w:hAnsi="Times New Roman" w:cs="Times New Roman"/>
          <w:sz w:val="24"/>
          <w:szCs w:val="24"/>
        </w:rPr>
        <w:t>netleştirme</w:t>
      </w:r>
      <w:r>
        <w:rPr>
          <w:rFonts w:ascii="Times New Roman" w:hAnsi="Times New Roman" w:cs="Times New Roman"/>
          <w:sz w:val="24"/>
          <w:szCs w:val="24"/>
        </w:rPr>
        <w:t xml:space="preserve"> yapılır. </w:t>
      </w:r>
    </w:p>
    <w:p w:rsidR="007E2D49" w:rsidRDefault="007E2D49" w:rsidP="007E2D49">
      <w:pPr>
        <w:ind w:firstLine="633"/>
        <w:jc w:val="both"/>
        <w:rPr>
          <w:rFonts w:ascii="Times New Roman" w:hAnsi="Times New Roman" w:cs="Times New Roman"/>
          <w:sz w:val="24"/>
          <w:szCs w:val="24"/>
        </w:rPr>
      </w:pPr>
      <w:r>
        <w:rPr>
          <w:rFonts w:ascii="Times New Roman" w:hAnsi="Times New Roman" w:cs="Times New Roman"/>
          <w:sz w:val="24"/>
          <w:szCs w:val="24"/>
        </w:rPr>
        <w:t>ABC A.Ş. için 60.000 TL</w:t>
      </w:r>
      <w:r w:rsidR="006177AB">
        <w:rPr>
          <w:rFonts w:ascii="Times New Roman" w:hAnsi="Times New Roman" w:cs="Times New Roman"/>
          <w:sz w:val="24"/>
          <w:szCs w:val="24"/>
        </w:rPr>
        <w:t xml:space="preserve">, </w:t>
      </w:r>
      <w:r>
        <w:rPr>
          <w:rFonts w:ascii="Times New Roman" w:hAnsi="Times New Roman" w:cs="Times New Roman"/>
          <w:sz w:val="24"/>
          <w:szCs w:val="24"/>
        </w:rPr>
        <w:t>DEF A.Ş. için 20.000 TL</w:t>
      </w:r>
    </w:p>
    <w:p w:rsidR="00544FED" w:rsidRDefault="007E2D49" w:rsidP="007E2D49">
      <w:pPr>
        <w:ind w:firstLine="633"/>
        <w:jc w:val="both"/>
        <w:rPr>
          <w:rFonts w:ascii="Times New Roman" w:hAnsi="Times New Roman" w:cs="Times New Roman"/>
          <w:sz w:val="24"/>
          <w:szCs w:val="24"/>
        </w:rPr>
      </w:pPr>
      <w:r>
        <w:rPr>
          <w:rFonts w:ascii="Times New Roman" w:hAnsi="Times New Roman" w:cs="Times New Roman"/>
          <w:sz w:val="24"/>
          <w:szCs w:val="24"/>
        </w:rPr>
        <w:t>Bu kapsamda, ABC A.Ş. için hesaplanan 60</w:t>
      </w:r>
      <w:r w:rsidR="00544FED" w:rsidRPr="007E2D49">
        <w:rPr>
          <w:rFonts w:ascii="Times New Roman" w:hAnsi="Times New Roman" w:cs="Times New Roman"/>
          <w:sz w:val="24"/>
          <w:szCs w:val="24"/>
        </w:rPr>
        <w:t>.000 TL’nin</w:t>
      </w:r>
      <w:r>
        <w:rPr>
          <w:rFonts w:ascii="Times New Roman" w:hAnsi="Times New Roman" w:cs="Times New Roman"/>
          <w:sz w:val="24"/>
          <w:szCs w:val="24"/>
        </w:rPr>
        <w:t>, DEF A.Ş. için ise 20.000 TL</w:t>
      </w:r>
      <w:r w:rsidR="00BE064B">
        <w:rPr>
          <w:rFonts w:ascii="Times New Roman" w:hAnsi="Times New Roman" w:cs="Times New Roman"/>
          <w:sz w:val="24"/>
          <w:szCs w:val="24"/>
        </w:rPr>
        <w:t>’nin</w:t>
      </w:r>
      <w:r w:rsidR="00544FED" w:rsidRPr="007E2D49">
        <w:rPr>
          <w:rFonts w:ascii="Times New Roman" w:hAnsi="Times New Roman" w:cs="Times New Roman"/>
          <w:sz w:val="24"/>
          <w:szCs w:val="24"/>
        </w:rPr>
        <w:t xml:space="preserve"> fon toplam değeri</w:t>
      </w:r>
      <w:r w:rsidR="00294E88">
        <w:rPr>
          <w:rFonts w:ascii="Times New Roman" w:hAnsi="Times New Roman" w:cs="Times New Roman"/>
          <w:sz w:val="24"/>
          <w:szCs w:val="24"/>
        </w:rPr>
        <w:t>ne oranının</w:t>
      </w:r>
      <w:r w:rsidR="00544FED" w:rsidRPr="007E2D49">
        <w:rPr>
          <w:rFonts w:ascii="Times New Roman" w:hAnsi="Times New Roman" w:cs="Times New Roman"/>
          <w:sz w:val="24"/>
          <w:szCs w:val="24"/>
        </w:rPr>
        <w:t xml:space="preserve"> %10’dan fazla olmaması gerekir.</w:t>
      </w:r>
    </w:p>
    <w:p w:rsidR="00967B04" w:rsidRPr="007E2D49" w:rsidRDefault="00967B04" w:rsidP="007E2D49">
      <w:pPr>
        <w:ind w:firstLine="633"/>
        <w:jc w:val="both"/>
        <w:rPr>
          <w:rFonts w:ascii="Times New Roman" w:hAnsi="Times New Roman" w:cs="Times New Roman"/>
          <w:sz w:val="24"/>
          <w:szCs w:val="24"/>
        </w:rPr>
      </w:pPr>
    </w:p>
    <w:p w:rsidR="006A36D8" w:rsidRDefault="009129F5" w:rsidP="001C1293">
      <w:pPr>
        <w:pStyle w:val="Heading3"/>
        <w:spacing w:after="240"/>
        <w:jc w:val="both"/>
        <w:rPr>
          <w:rFonts w:eastAsia="Times New Roman"/>
          <w:lang w:eastAsia="tr-TR"/>
        </w:rPr>
      </w:pPr>
      <w:bookmarkStart w:id="113" w:name="_Toc130312542"/>
      <w:bookmarkStart w:id="114" w:name="_Toc130312674"/>
      <w:r>
        <w:rPr>
          <w:rFonts w:eastAsia="Times New Roman"/>
          <w:lang w:eastAsia="tr-TR"/>
        </w:rPr>
        <w:t>4</w:t>
      </w:r>
      <w:r w:rsidR="002D7167" w:rsidRPr="0051763D">
        <w:rPr>
          <w:rFonts w:eastAsia="Times New Roman"/>
          <w:lang w:eastAsia="tr-TR"/>
        </w:rPr>
        <w:t>.</w:t>
      </w:r>
      <w:r w:rsidR="00F079B7">
        <w:rPr>
          <w:rFonts w:eastAsia="Times New Roman"/>
          <w:lang w:eastAsia="tr-TR"/>
        </w:rPr>
        <w:t>1</w:t>
      </w:r>
      <w:r w:rsidR="002D7167" w:rsidRPr="0051763D">
        <w:rPr>
          <w:rFonts w:eastAsia="Times New Roman"/>
          <w:lang w:eastAsia="tr-TR"/>
        </w:rPr>
        <w:t>.</w:t>
      </w:r>
      <w:r w:rsidR="00275A65">
        <w:rPr>
          <w:rFonts w:eastAsia="Times New Roman"/>
          <w:lang w:eastAsia="tr-TR"/>
        </w:rPr>
        <w:t xml:space="preserve">2. </w:t>
      </w:r>
      <w:r w:rsidR="002E0CAB">
        <w:rPr>
          <w:rFonts w:eastAsia="Times New Roman"/>
          <w:lang w:eastAsia="tr-TR"/>
        </w:rPr>
        <w:t>Diğer Yatırım Araçları</w:t>
      </w:r>
      <w:bookmarkEnd w:id="113"/>
      <w:bookmarkEnd w:id="114"/>
    </w:p>
    <w:p w:rsidR="005E5016" w:rsidRPr="006806B5" w:rsidRDefault="005E5016" w:rsidP="006806B5">
      <w:pPr>
        <w:pStyle w:val="ListParagraph"/>
        <w:numPr>
          <w:ilvl w:val="0"/>
          <w:numId w:val="74"/>
        </w:numPr>
        <w:jc w:val="both"/>
        <w:rPr>
          <w:rFonts w:ascii="Times New Roman" w:hAnsi="Times New Roman" w:cs="Times New Roman"/>
          <w:sz w:val="24"/>
          <w:szCs w:val="24"/>
        </w:rPr>
      </w:pPr>
      <w:r w:rsidRPr="006806B5">
        <w:rPr>
          <w:rFonts w:ascii="Times New Roman" w:hAnsi="Times New Roman" w:cs="Times New Roman"/>
          <w:sz w:val="24"/>
          <w:szCs w:val="24"/>
        </w:rPr>
        <w:t>Fon Tebliği’nin 4</w:t>
      </w:r>
      <w:r w:rsidR="00E676B3" w:rsidRPr="006806B5">
        <w:rPr>
          <w:rFonts w:ascii="Times New Roman" w:hAnsi="Times New Roman" w:cs="Times New Roman"/>
          <w:sz w:val="24"/>
          <w:szCs w:val="24"/>
        </w:rPr>
        <w:t>’üncü</w:t>
      </w:r>
      <w:r w:rsidRPr="006806B5">
        <w:rPr>
          <w:rFonts w:ascii="Times New Roman" w:hAnsi="Times New Roman" w:cs="Times New Roman"/>
          <w:sz w:val="24"/>
          <w:szCs w:val="24"/>
        </w:rPr>
        <w:t xml:space="preserve"> maddesinin ikinci fıkrasının (j) bendi uyarınca bu bölümde </w:t>
      </w:r>
      <w:r w:rsidR="006177AB" w:rsidRPr="006806B5">
        <w:rPr>
          <w:rFonts w:ascii="Times New Roman" w:hAnsi="Times New Roman" w:cs="Times New Roman"/>
          <w:sz w:val="24"/>
          <w:szCs w:val="24"/>
        </w:rPr>
        <w:t>düzenlenen</w:t>
      </w:r>
      <w:r w:rsidRPr="006806B5">
        <w:rPr>
          <w:rFonts w:ascii="Times New Roman" w:hAnsi="Times New Roman" w:cs="Times New Roman"/>
          <w:sz w:val="24"/>
          <w:szCs w:val="24"/>
        </w:rPr>
        <w:t xml:space="preserve"> yatırım araçları</w:t>
      </w:r>
      <w:r w:rsidR="00D54058" w:rsidRPr="006806B5">
        <w:rPr>
          <w:rFonts w:ascii="Times New Roman" w:hAnsi="Times New Roman" w:cs="Times New Roman"/>
          <w:sz w:val="24"/>
          <w:szCs w:val="24"/>
        </w:rPr>
        <w:t xml:space="preserve"> </w:t>
      </w:r>
      <w:r w:rsidR="00BA0AD8">
        <w:rPr>
          <w:rFonts w:ascii="Times New Roman" w:hAnsi="Times New Roman" w:cs="Times New Roman"/>
          <w:sz w:val="24"/>
          <w:szCs w:val="24"/>
        </w:rPr>
        <w:t>a</w:t>
      </w:r>
      <w:r w:rsidR="00BA0AD8" w:rsidRPr="004E4F3E">
        <w:rPr>
          <w:rFonts w:ascii="Times New Roman" w:hAnsi="Times New Roman" w:cs="Times New Roman"/>
          <w:sz w:val="24"/>
          <w:szCs w:val="24"/>
        </w:rPr>
        <w:t>şağı</w:t>
      </w:r>
      <w:r w:rsidR="00BA0AD8">
        <w:rPr>
          <w:rFonts w:ascii="Times New Roman" w:hAnsi="Times New Roman" w:cs="Times New Roman"/>
          <w:sz w:val="24"/>
          <w:szCs w:val="24"/>
        </w:rPr>
        <w:t>da belirtilen esaslar dahilinde</w:t>
      </w:r>
      <w:r w:rsidR="00D54058">
        <w:rPr>
          <w:rFonts w:ascii="Times New Roman" w:hAnsi="Times New Roman" w:cs="Times New Roman"/>
          <w:sz w:val="24"/>
          <w:szCs w:val="24"/>
        </w:rPr>
        <w:t xml:space="preserve"> </w:t>
      </w:r>
      <w:r w:rsidR="00B70AFC" w:rsidRPr="006806B5">
        <w:rPr>
          <w:rFonts w:ascii="Times New Roman" w:hAnsi="Times New Roman" w:cs="Times New Roman"/>
          <w:sz w:val="24"/>
          <w:szCs w:val="24"/>
        </w:rPr>
        <w:t>fon portföyüne</w:t>
      </w:r>
      <w:r w:rsidRPr="006806B5">
        <w:rPr>
          <w:rFonts w:ascii="Times New Roman" w:hAnsi="Times New Roman" w:cs="Times New Roman"/>
          <w:sz w:val="24"/>
          <w:szCs w:val="24"/>
        </w:rPr>
        <w:t xml:space="preserve"> dahil edilebilir.</w:t>
      </w:r>
    </w:p>
    <w:p w:rsidR="000B4328" w:rsidRPr="006806B5" w:rsidRDefault="004407A8" w:rsidP="006806B5">
      <w:pPr>
        <w:pStyle w:val="ListParagraph"/>
        <w:numPr>
          <w:ilvl w:val="0"/>
          <w:numId w:val="74"/>
        </w:numPr>
        <w:jc w:val="both"/>
        <w:rPr>
          <w:rFonts w:ascii="Times New Roman" w:hAnsi="Times New Roman" w:cs="Times New Roman"/>
          <w:sz w:val="24"/>
          <w:szCs w:val="24"/>
        </w:rPr>
      </w:pPr>
      <w:r w:rsidRPr="006806B5">
        <w:rPr>
          <w:rFonts w:ascii="Times New Roman" w:hAnsi="Times New Roman" w:cs="Times New Roman"/>
          <w:sz w:val="24"/>
          <w:szCs w:val="24"/>
        </w:rPr>
        <w:t>B</w:t>
      </w:r>
      <w:r w:rsidR="006A36D8" w:rsidRPr="006806B5">
        <w:rPr>
          <w:rFonts w:ascii="Times New Roman" w:hAnsi="Times New Roman" w:cs="Times New Roman"/>
          <w:sz w:val="24"/>
          <w:szCs w:val="24"/>
        </w:rPr>
        <w:t xml:space="preserve">u bölümde </w:t>
      </w:r>
      <w:r w:rsidR="006177AB" w:rsidRPr="006806B5">
        <w:rPr>
          <w:rFonts w:ascii="Times New Roman" w:hAnsi="Times New Roman" w:cs="Times New Roman"/>
          <w:sz w:val="24"/>
          <w:szCs w:val="24"/>
        </w:rPr>
        <w:t>düzenlenen</w:t>
      </w:r>
      <w:r w:rsidR="003A60A8" w:rsidRPr="006806B5">
        <w:rPr>
          <w:rFonts w:ascii="Times New Roman" w:hAnsi="Times New Roman" w:cs="Times New Roman"/>
          <w:sz w:val="24"/>
          <w:szCs w:val="24"/>
        </w:rPr>
        <w:t xml:space="preserve"> </w:t>
      </w:r>
      <w:r w:rsidR="006A36D8" w:rsidRPr="006806B5">
        <w:rPr>
          <w:rFonts w:ascii="Times New Roman" w:hAnsi="Times New Roman" w:cs="Times New Roman"/>
          <w:sz w:val="24"/>
          <w:szCs w:val="24"/>
        </w:rPr>
        <w:t>araçlara</w:t>
      </w:r>
      <w:r w:rsidR="0093730E" w:rsidRPr="006806B5">
        <w:rPr>
          <w:rFonts w:ascii="Times New Roman" w:hAnsi="Times New Roman" w:cs="Times New Roman"/>
          <w:sz w:val="24"/>
          <w:szCs w:val="24"/>
        </w:rPr>
        <w:t xml:space="preserve"> yapılacak yatırım</w:t>
      </w:r>
      <w:r w:rsidR="004C6D40" w:rsidRPr="006806B5">
        <w:rPr>
          <w:rFonts w:ascii="Times New Roman" w:hAnsi="Times New Roman" w:cs="Times New Roman"/>
          <w:sz w:val="24"/>
          <w:szCs w:val="24"/>
        </w:rPr>
        <w:t>,</w:t>
      </w:r>
      <w:r w:rsidR="006A36D8" w:rsidRPr="006806B5">
        <w:rPr>
          <w:rFonts w:ascii="Times New Roman" w:hAnsi="Times New Roman" w:cs="Times New Roman"/>
          <w:sz w:val="24"/>
          <w:szCs w:val="24"/>
        </w:rPr>
        <w:t xml:space="preserve"> her bir yatırım aracı türün</w:t>
      </w:r>
      <w:r w:rsidR="0093730E" w:rsidRPr="006806B5">
        <w:rPr>
          <w:rFonts w:ascii="Times New Roman" w:hAnsi="Times New Roman" w:cs="Times New Roman"/>
          <w:sz w:val="24"/>
          <w:szCs w:val="24"/>
        </w:rPr>
        <w:t>d</w:t>
      </w:r>
      <w:r w:rsidR="006A36D8" w:rsidRPr="006806B5">
        <w:rPr>
          <w:rFonts w:ascii="Times New Roman" w:hAnsi="Times New Roman" w:cs="Times New Roman"/>
          <w:sz w:val="24"/>
          <w:szCs w:val="24"/>
        </w:rPr>
        <w:t>e azami %10 olmak üzere, fon toplam değerinin %15’ini aşamaz.</w:t>
      </w:r>
    </w:p>
    <w:p w:rsidR="00B40D97" w:rsidRPr="00625930" w:rsidRDefault="00140CCB" w:rsidP="006806B5">
      <w:pPr>
        <w:pStyle w:val="ListParagraph"/>
        <w:numPr>
          <w:ilvl w:val="0"/>
          <w:numId w:val="74"/>
        </w:numPr>
        <w:jc w:val="both"/>
        <w:rPr>
          <w:rFonts w:ascii="Times New Roman" w:hAnsi="Times New Roman" w:cs="Times New Roman"/>
          <w:sz w:val="24"/>
          <w:szCs w:val="24"/>
        </w:rPr>
      </w:pPr>
      <w:r w:rsidRPr="00140CCB">
        <w:rPr>
          <w:rFonts w:ascii="Times New Roman" w:hAnsi="Times New Roman" w:cs="Times New Roman"/>
          <w:b/>
          <w:sz w:val="24"/>
          <w:szCs w:val="24"/>
        </w:rPr>
        <w:t xml:space="preserve">(Değişiklik: </w:t>
      </w:r>
      <w:r>
        <w:rPr>
          <w:rFonts w:ascii="Times New Roman" w:hAnsi="Times New Roman" w:cs="Times New Roman"/>
          <w:b/>
          <w:sz w:val="24"/>
          <w:szCs w:val="24"/>
        </w:rPr>
        <w:t xml:space="preserve">21.03.2023 tarih ve </w:t>
      </w:r>
      <w:r w:rsidR="00625930" w:rsidRPr="00625930">
        <w:rPr>
          <w:rFonts w:ascii="Times New Roman" w:hAnsi="Times New Roman" w:cs="Times New Roman"/>
          <w:b/>
          <w:sz w:val="24"/>
          <w:szCs w:val="24"/>
        </w:rPr>
        <w:t>17</w:t>
      </w:r>
      <w:r w:rsidRPr="00625930">
        <w:rPr>
          <w:rFonts w:ascii="Times New Roman" w:hAnsi="Times New Roman" w:cs="Times New Roman"/>
          <w:b/>
          <w:sz w:val="24"/>
          <w:szCs w:val="24"/>
        </w:rPr>
        <w:t>/</w:t>
      </w:r>
      <w:r w:rsidR="00625930" w:rsidRPr="00625930">
        <w:rPr>
          <w:rFonts w:ascii="Times New Roman" w:hAnsi="Times New Roman" w:cs="Times New Roman"/>
          <w:b/>
          <w:sz w:val="24"/>
          <w:szCs w:val="24"/>
        </w:rPr>
        <w:t>366</w:t>
      </w:r>
      <w:r w:rsidRPr="00140CCB">
        <w:rPr>
          <w:rFonts w:ascii="Times New Roman" w:hAnsi="Times New Roman" w:cs="Times New Roman"/>
          <w:b/>
          <w:sz w:val="24"/>
          <w:szCs w:val="24"/>
        </w:rPr>
        <w:t xml:space="preserve"> sayılı Kurul Kararı ile)</w:t>
      </w:r>
      <w:r w:rsidRPr="006A36D8">
        <w:rPr>
          <w:i/>
        </w:rPr>
        <w:t xml:space="preserve"> </w:t>
      </w:r>
      <w:r w:rsidR="003A60A8" w:rsidRPr="006806B5">
        <w:rPr>
          <w:rFonts w:ascii="Times New Roman" w:hAnsi="Times New Roman" w:cs="Times New Roman"/>
          <w:sz w:val="24"/>
          <w:szCs w:val="24"/>
        </w:rPr>
        <w:t>F</w:t>
      </w:r>
      <w:r w:rsidR="00EF4CFC" w:rsidRPr="006806B5">
        <w:rPr>
          <w:rFonts w:ascii="Times New Roman" w:hAnsi="Times New Roman" w:cs="Times New Roman"/>
          <w:sz w:val="24"/>
          <w:szCs w:val="24"/>
        </w:rPr>
        <w:t>onlar tarafından bu bölüm kapsamındaki yatırım araçları aracılığıyla</w:t>
      </w:r>
      <w:r w:rsidR="00BE064B" w:rsidRPr="006806B5">
        <w:rPr>
          <w:rFonts w:ascii="Times New Roman" w:hAnsi="Times New Roman" w:cs="Times New Roman"/>
          <w:sz w:val="24"/>
          <w:szCs w:val="24"/>
        </w:rPr>
        <w:t xml:space="preserve"> </w:t>
      </w:r>
      <w:r w:rsidR="00372DBD" w:rsidRPr="006806B5">
        <w:rPr>
          <w:rFonts w:ascii="Times New Roman" w:hAnsi="Times New Roman" w:cs="Times New Roman"/>
          <w:sz w:val="24"/>
          <w:szCs w:val="24"/>
        </w:rPr>
        <w:t xml:space="preserve">bu </w:t>
      </w:r>
      <w:r w:rsidR="00EF4CFC" w:rsidRPr="006806B5">
        <w:rPr>
          <w:rFonts w:ascii="Times New Roman" w:hAnsi="Times New Roman" w:cs="Times New Roman"/>
          <w:sz w:val="24"/>
          <w:szCs w:val="24"/>
        </w:rPr>
        <w:t>Rehber’in (</w:t>
      </w:r>
      <w:r w:rsidR="00C12B24" w:rsidRPr="006806B5">
        <w:rPr>
          <w:rFonts w:ascii="Times New Roman" w:hAnsi="Times New Roman" w:cs="Times New Roman"/>
          <w:sz w:val="24"/>
          <w:szCs w:val="24"/>
        </w:rPr>
        <w:t>7.3.</w:t>
      </w:r>
      <w:r w:rsidR="00EF4CFC" w:rsidRPr="006806B5">
        <w:rPr>
          <w:rFonts w:ascii="Times New Roman" w:hAnsi="Times New Roman" w:cs="Times New Roman"/>
          <w:sz w:val="24"/>
          <w:szCs w:val="24"/>
        </w:rPr>
        <w:t>) nolu bölümünün</w:t>
      </w:r>
      <w:r w:rsidR="00C86E12" w:rsidRPr="006806B5">
        <w:rPr>
          <w:rFonts w:ascii="Times New Roman" w:hAnsi="Times New Roman" w:cs="Times New Roman"/>
          <w:sz w:val="24"/>
          <w:szCs w:val="24"/>
        </w:rPr>
        <w:t xml:space="preserve"> </w:t>
      </w:r>
      <w:r w:rsidR="00EF4CFC" w:rsidRPr="006806B5">
        <w:rPr>
          <w:rFonts w:ascii="Times New Roman" w:hAnsi="Times New Roman" w:cs="Times New Roman"/>
          <w:sz w:val="24"/>
          <w:szCs w:val="24"/>
        </w:rPr>
        <w:t>(</w:t>
      </w:r>
      <w:r w:rsidR="00C12B24" w:rsidRPr="006806B5">
        <w:rPr>
          <w:rFonts w:ascii="Times New Roman" w:hAnsi="Times New Roman" w:cs="Times New Roman"/>
          <w:sz w:val="24"/>
          <w:szCs w:val="24"/>
        </w:rPr>
        <w:t>a</w:t>
      </w:r>
      <w:r w:rsidR="00EF4CFC" w:rsidRPr="006806B5">
        <w:rPr>
          <w:rFonts w:ascii="Times New Roman" w:hAnsi="Times New Roman" w:cs="Times New Roman"/>
          <w:sz w:val="24"/>
          <w:szCs w:val="24"/>
        </w:rPr>
        <w:t>), ben</w:t>
      </w:r>
      <w:r w:rsidR="00625930">
        <w:rPr>
          <w:rFonts w:ascii="Times New Roman" w:hAnsi="Times New Roman" w:cs="Times New Roman"/>
          <w:sz w:val="24"/>
          <w:szCs w:val="24"/>
        </w:rPr>
        <w:t>d</w:t>
      </w:r>
      <w:r w:rsidR="00EF4CFC" w:rsidRPr="006806B5">
        <w:rPr>
          <w:rFonts w:ascii="Times New Roman" w:hAnsi="Times New Roman" w:cs="Times New Roman"/>
          <w:sz w:val="24"/>
          <w:szCs w:val="24"/>
        </w:rPr>
        <w:t>inde sıralanan varlıklar dışındaki varlıklara dolaylı olarak yatırım yapılması mümkün değildir.</w:t>
      </w:r>
      <w:r w:rsidR="00625930" w:rsidRPr="00625930">
        <w:t xml:space="preserve"> </w:t>
      </w:r>
      <w:r w:rsidR="00625930" w:rsidRPr="00625930">
        <w:rPr>
          <w:rFonts w:ascii="Times New Roman" w:hAnsi="Times New Roman" w:cs="Times New Roman"/>
          <w:sz w:val="24"/>
          <w:szCs w:val="24"/>
        </w:rPr>
        <w:t>Serbest fonlar ve unvanında “emtia” ibaresi yer alan fon sepeti fonlarına ilişkin esaslar saklıdır</w:t>
      </w:r>
      <w:r w:rsidR="00625930">
        <w:rPr>
          <w:rFonts w:ascii="Times New Roman" w:hAnsi="Times New Roman" w:cs="Times New Roman"/>
          <w:sz w:val="24"/>
          <w:szCs w:val="24"/>
        </w:rPr>
        <w:t>.</w:t>
      </w:r>
      <w:r w:rsidR="00EF4CFC" w:rsidRPr="00625930">
        <w:rPr>
          <w:rFonts w:ascii="Times New Roman" w:hAnsi="Times New Roman" w:cs="Times New Roman"/>
          <w:sz w:val="24"/>
          <w:szCs w:val="24"/>
        </w:rPr>
        <w:t xml:space="preserve"> </w:t>
      </w:r>
    </w:p>
    <w:p w:rsidR="001110EE" w:rsidRPr="006806B5" w:rsidRDefault="005E5016" w:rsidP="006806B5">
      <w:pPr>
        <w:pStyle w:val="ListParagraph"/>
        <w:numPr>
          <w:ilvl w:val="0"/>
          <w:numId w:val="74"/>
        </w:numPr>
        <w:jc w:val="both"/>
        <w:rPr>
          <w:rFonts w:ascii="Times New Roman" w:hAnsi="Times New Roman" w:cs="Times New Roman"/>
          <w:sz w:val="24"/>
          <w:szCs w:val="24"/>
        </w:rPr>
      </w:pPr>
      <w:r w:rsidRPr="006806B5">
        <w:rPr>
          <w:rFonts w:ascii="Times New Roman" w:hAnsi="Times New Roman" w:cs="Times New Roman"/>
          <w:sz w:val="24"/>
          <w:szCs w:val="24"/>
        </w:rPr>
        <w:t xml:space="preserve">Bu bölümde düzenlenen araçlar hariç olmak üzere, Fon Tebliği ve </w:t>
      </w:r>
      <w:r w:rsidR="00372DBD" w:rsidRPr="006806B5">
        <w:rPr>
          <w:rFonts w:ascii="Times New Roman" w:hAnsi="Times New Roman" w:cs="Times New Roman"/>
          <w:sz w:val="24"/>
          <w:szCs w:val="24"/>
        </w:rPr>
        <w:t xml:space="preserve">bu </w:t>
      </w:r>
      <w:r w:rsidRPr="006806B5">
        <w:rPr>
          <w:rFonts w:ascii="Times New Roman" w:hAnsi="Times New Roman" w:cs="Times New Roman"/>
          <w:sz w:val="24"/>
          <w:szCs w:val="24"/>
        </w:rPr>
        <w:t xml:space="preserve">Rehber kapsamında fon portföyüne dahil edilmesi uygun görülen ve portföy sınırlamalarına ilişkin esasları düzenlenen yatırım araçları (örneğin varlığa dayalı menkul kıymetler) bu bölüm kapsamında değerlendirilmez ve bu bölümde yer alan </w:t>
      </w:r>
      <w:r w:rsidR="00294E88" w:rsidRPr="006806B5">
        <w:rPr>
          <w:rFonts w:ascii="Times New Roman" w:hAnsi="Times New Roman" w:cs="Times New Roman"/>
          <w:sz w:val="24"/>
          <w:szCs w:val="24"/>
        </w:rPr>
        <w:t>araçlar</w:t>
      </w:r>
      <w:r w:rsidRPr="006806B5">
        <w:rPr>
          <w:rFonts w:ascii="Times New Roman" w:hAnsi="Times New Roman" w:cs="Times New Roman"/>
          <w:sz w:val="24"/>
          <w:szCs w:val="24"/>
        </w:rPr>
        <w:t xml:space="preserve"> için öngörülen portföy sınırlamalarında dikkate alınmaz.</w:t>
      </w:r>
    </w:p>
    <w:p w:rsidR="001110EE" w:rsidRPr="006806B5" w:rsidRDefault="00D40BB2" w:rsidP="006806B5">
      <w:pPr>
        <w:pStyle w:val="ListParagraph"/>
        <w:numPr>
          <w:ilvl w:val="0"/>
          <w:numId w:val="74"/>
        </w:numPr>
        <w:jc w:val="both"/>
        <w:rPr>
          <w:rFonts w:ascii="Times New Roman" w:hAnsi="Times New Roman" w:cs="Times New Roman"/>
          <w:sz w:val="24"/>
          <w:szCs w:val="24"/>
        </w:rPr>
      </w:pPr>
      <w:r w:rsidRPr="006806B5">
        <w:rPr>
          <w:rFonts w:ascii="Times New Roman" w:hAnsi="Times New Roman" w:cs="Times New Roman"/>
          <w:sz w:val="24"/>
          <w:szCs w:val="24"/>
        </w:rPr>
        <w:t xml:space="preserve">Kredi riskine dayalı yatırım aracı saklı türev araç niteliğindedir. </w:t>
      </w:r>
      <w:r w:rsidR="001110EE" w:rsidRPr="006806B5">
        <w:rPr>
          <w:rFonts w:ascii="Times New Roman" w:hAnsi="Times New Roman" w:cs="Times New Roman"/>
          <w:sz w:val="24"/>
          <w:szCs w:val="24"/>
        </w:rPr>
        <w:t xml:space="preserve">Fon portföyüne alınan </w:t>
      </w:r>
      <w:r w:rsidR="00912134" w:rsidRPr="006806B5">
        <w:rPr>
          <w:rFonts w:ascii="Times New Roman" w:hAnsi="Times New Roman" w:cs="Times New Roman"/>
          <w:sz w:val="24"/>
          <w:szCs w:val="24"/>
        </w:rPr>
        <w:t xml:space="preserve">diğer </w:t>
      </w:r>
      <w:r w:rsidR="00CA32DE" w:rsidRPr="006806B5">
        <w:rPr>
          <w:rFonts w:ascii="Times New Roman" w:hAnsi="Times New Roman" w:cs="Times New Roman"/>
          <w:sz w:val="24"/>
          <w:szCs w:val="24"/>
        </w:rPr>
        <w:t xml:space="preserve">türlerdeki </w:t>
      </w:r>
      <w:r w:rsidR="001110EE" w:rsidRPr="006806B5">
        <w:rPr>
          <w:rFonts w:ascii="Times New Roman" w:hAnsi="Times New Roman" w:cs="Times New Roman"/>
          <w:sz w:val="24"/>
          <w:szCs w:val="24"/>
        </w:rPr>
        <w:t>yapılandırılmış yatırım ara</w:t>
      </w:r>
      <w:r w:rsidR="00566FD3" w:rsidRPr="006806B5">
        <w:rPr>
          <w:rFonts w:ascii="Times New Roman" w:hAnsi="Times New Roman" w:cs="Times New Roman"/>
          <w:sz w:val="24"/>
          <w:szCs w:val="24"/>
        </w:rPr>
        <w:t>çlarının</w:t>
      </w:r>
      <w:r w:rsidR="001110EE" w:rsidRPr="006806B5">
        <w:rPr>
          <w:rFonts w:ascii="Times New Roman" w:hAnsi="Times New Roman" w:cs="Times New Roman"/>
          <w:sz w:val="24"/>
          <w:szCs w:val="24"/>
        </w:rPr>
        <w:t xml:space="preserve"> saklı türev araç niteliği taşıyıp taşımadığı </w:t>
      </w:r>
      <w:r w:rsidR="00912134" w:rsidRPr="006806B5">
        <w:rPr>
          <w:rFonts w:ascii="Times New Roman" w:hAnsi="Times New Roman" w:cs="Times New Roman"/>
          <w:sz w:val="24"/>
          <w:szCs w:val="24"/>
        </w:rPr>
        <w:t xml:space="preserve">Yönetici tarafından </w:t>
      </w:r>
      <w:r w:rsidR="001110EE" w:rsidRPr="006806B5">
        <w:rPr>
          <w:rFonts w:ascii="Times New Roman" w:hAnsi="Times New Roman" w:cs="Times New Roman"/>
          <w:sz w:val="24"/>
          <w:szCs w:val="24"/>
        </w:rPr>
        <w:t>değerlendir</w:t>
      </w:r>
      <w:r w:rsidR="00912134" w:rsidRPr="006806B5">
        <w:rPr>
          <w:rFonts w:ascii="Times New Roman" w:hAnsi="Times New Roman" w:cs="Times New Roman"/>
          <w:sz w:val="24"/>
          <w:szCs w:val="24"/>
        </w:rPr>
        <w:t xml:space="preserve">ilerek </w:t>
      </w:r>
      <w:r w:rsidR="005E0C76" w:rsidRPr="006806B5">
        <w:rPr>
          <w:rFonts w:ascii="Times New Roman" w:hAnsi="Times New Roman" w:cs="Times New Roman"/>
          <w:sz w:val="24"/>
          <w:szCs w:val="24"/>
        </w:rPr>
        <w:t xml:space="preserve">söz konusu değerlendirmeyi </w:t>
      </w:r>
      <w:r w:rsidR="00912134" w:rsidRPr="006806B5">
        <w:rPr>
          <w:rFonts w:ascii="Times New Roman" w:hAnsi="Times New Roman" w:cs="Times New Roman"/>
          <w:sz w:val="24"/>
          <w:szCs w:val="24"/>
        </w:rPr>
        <w:t>tevsik edici</w:t>
      </w:r>
      <w:r w:rsidR="001110EE" w:rsidRPr="006806B5">
        <w:rPr>
          <w:rFonts w:ascii="Times New Roman" w:hAnsi="Times New Roman" w:cs="Times New Roman"/>
          <w:sz w:val="24"/>
          <w:szCs w:val="24"/>
        </w:rPr>
        <w:t xml:space="preserve"> belgeler Yönetici nezdinde </w:t>
      </w:r>
      <w:r w:rsidR="005E0C76" w:rsidRPr="006806B5">
        <w:rPr>
          <w:rFonts w:ascii="Times New Roman" w:hAnsi="Times New Roman" w:cs="Times New Roman"/>
          <w:sz w:val="24"/>
          <w:szCs w:val="24"/>
        </w:rPr>
        <w:t>muhafaza edilir</w:t>
      </w:r>
      <w:r w:rsidR="001110EE" w:rsidRPr="006806B5">
        <w:rPr>
          <w:rFonts w:ascii="Times New Roman" w:hAnsi="Times New Roman" w:cs="Times New Roman"/>
          <w:sz w:val="24"/>
          <w:szCs w:val="24"/>
        </w:rPr>
        <w:t xml:space="preserve">. Yapılandırılmış yatırım aracının saklı türev araç niteliğinde olması halinde, risk ölçümüne ilişkin olarak bu Rehber’de yer alan esaslar uygulanır. </w:t>
      </w:r>
    </w:p>
    <w:p w:rsidR="004B239F" w:rsidRPr="006806B5" w:rsidRDefault="004B239F" w:rsidP="006806B5">
      <w:pPr>
        <w:pStyle w:val="ListParagraph"/>
        <w:numPr>
          <w:ilvl w:val="0"/>
          <w:numId w:val="74"/>
        </w:numPr>
        <w:jc w:val="both"/>
        <w:rPr>
          <w:rFonts w:ascii="Times New Roman" w:hAnsi="Times New Roman" w:cs="Times New Roman"/>
          <w:sz w:val="24"/>
          <w:szCs w:val="24"/>
        </w:rPr>
      </w:pPr>
      <w:r w:rsidRPr="006806B5">
        <w:rPr>
          <w:rFonts w:ascii="Times New Roman" w:hAnsi="Times New Roman" w:cs="Times New Roman"/>
          <w:sz w:val="24"/>
          <w:szCs w:val="24"/>
        </w:rPr>
        <w:t>Bu bölümde düzenlenen araçların genel özelliklerine ilişkin bilgilere ve içerdiği muhtemel risklere fon izahnamesinde yer verilmesi zorunludur.</w:t>
      </w:r>
    </w:p>
    <w:p w:rsidR="005E5016" w:rsidRPr="00D05392" w:rsidRDefault="00D05392" w:rsidP="00BB1D63">
      <w:pPr>
        <w:pStyle w:val="ListParagraph"/>
        <w:numPr>
          <w:ilvl w:val="0"/>
          <w:numId w:val="74"/>
        </w:numPr>
        <w:jc w:val="both"/>
        <w:rPr>
          <w:rFonts w:ascii="Times New Roman" w:hAnsi="Times New Roman" w:cs="Times New Roman"/>
          <w:b/>
          <w:sz w:val="24"/>
          <w:szCs w:val="24"/>
        </w:rPr>
      </w:pPr>
      <w:r w:rsidRPr="00D05392">
        <w:rPr>
          <w:rFonts w:ascii="Times New Roman" w:eastAsia="Times New Roman" w:hAnsi="Times New Roman" w:cs="Times New Roman"/>
          <w:b/>
          <w:sz w:val="24"/>
          <w:szCs w:val="24"/>
          <w:lang w:eastAsia="tr-TR"/>
        </w:rPr>
        <w:t>(21.03.2023</w:t>
      </w:r>
      <w:r w:rsidR="00BE386C">
        <w:rPr>
          <w:rFonts w:ascii="Times New Roman" w:eastAsia="Times New Roman" w:hAnsi="Times New Roman" w:cs="Times New Roman"/>
          <w:b/>
          <w:sz w:val="24"/>
          <w:szCs w:val="24"/>
          <w:lang w:eastAsia="tr-TR"/>
        </w:rPr>
        <w:t xml:space="preserve"> tarih ve 17/366</w:t>
      </w:r>
      <w:r w:rsidRPr="00D05392">
        <w:rPr>
          <w:rFonts w:ascii="Times New Roman" w:eastAsia="Times New Roman" w:hAnsi="Times New Roman" w:cs="Times New Roman"/>
          <w:b/>
          <w:sz w:val="24"/>
          <w:szCs w:val="24"/>
          <w:lang w:eastAsia="tr-TR"/>
        </w:rPr>
        <w:t xml:space="preserve"> sayılı Kurul Kararı ile yürürlükten kaldırılmıştır.)</w:t>
      </w:r>
    </w:p>
    <w:p w:rsidR="006A36D8" w:rsidRPr="006A36D8" w:rsidRDefault="006A36D8" w:rsidP="00D05392">
      <w:pPr>
        <w:pStyle w:val="ListParagraph"/>
        <w:jc w:val="both"/>
        <w:rPr>
          <w:lang w:eastAsia="tr-TR"/>
        </w:rPr>
      </w:pPr>
    </w:p>
    <w:p w:rsidR="009A0E06" w:rsidRPr="006A36D8" w:rsidRDefault="006A36D8" w:rsidP="001C1293">
      <w:pPr>
        <w:pStyle w:val="Heading4"/>
        <w:spacing w:after="240"/>
        <w:jc w:val="both"/>
        <w:rPr>
          <w:rFonts w:eastAsia="Times New Roman"/>
          <w:i w:val="0"/>
          <w:lang w:eastAsia="tr-TR"/>
        </w:rPr>
      </w:pPr>
      <w:r w:rsidRPr="006A36D8">
        <w:rPr>
          <w:i w:val="0"/>
        </w:rPr>
        <w:t>4.1.2.1.</w:t>
      </w:r>
      <w:r w:rsidR="00D15DBD">
        <w:rPr>
          <w:i w:val="0"/>
        </w:rPr>
        <w:t xml:space="preserve"> (Değişiklik: 07.04.2022 tarih ve 17/513 sayılı Kurul Kararı ile)</w:t>
      </w:r>
      <w:r w:rsidRPr="006A36D8">
        <w:rPr>
          <w:i w:val="0"/>
        </w:rPr>
        <w:t xml:space="preserve"> </w:t>
      </w:r>
      <w:r w:rsidR="009A0E06" w:rsidRPr="006A36D8">
        <w:rPr>
          <w:i w:val="0"/>
        </w:rPr>
        <w:t>Yapılandırılmış Yatırım Araçları</w:t>
      </w:r>
    </w:p>
    <w:p w:rsidR="009A0E06" w:rsidRPr="004E4F3E" w:rsidRDefault="001110EE" w:rsidP="009A0E06">
      <w:pPr>
        <w:spacing w:line="24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A) </w:t>
      </w:r>
      <w:r w:rsidR="009A0E06" w:rsidRPr="004E4F3E">
        <w:rPr>
          <w:rFonts w:ascii="Times New Roman" w:hAnsi="Times New Roman" w:cs="Times New Roman"/>
          <w:sz w:val="24"/>
          <w:szCs w:val="24"/>
          <w:lang w:eastAsia="tr-TR"/>
        </w:rPr>
        <w:t xml:space="preserve">Yapılandırılmış </w:t>
      </w:r>
      <w:r w:rsidR="00294E88">
        <w:rPr>
          <w:rFonts w:ascii="Times New Roman" w:hAnsi="Times New Roman" w:cs="Times New Roman"/>
          <w:sz w:val="24"/>
          <w:szCs w:val="24"/>
          <w:lang w:eastAsia="tr-TR"/>
        </w:rPr>
        <w:t>yatırım araçları</w:t>
      </w:r>
      <w:r w:rsidR="00E263B1">
        <w:rPr>
          <w:rFonts w:ascii="Times New Roman" w:hAnsi="Times New Roman" w:cs="Times New Roman"/>
          <w:sz w:val="24"/>
          <w:szCs w:val="24"/>
          <w:lang w:eastAsia="tr-TR"/>
        </w:rPr>
        <w:t>nın;</w:t>
      </w:r>
    </w:p>
    <w:p w:rsidR="009A0E06" w:rsidRPr="00E263B1" w:rsidRDefault="001D48F0" w:rsidP="0006161B">
      <w:pPr>
        <w:pStyle w:val="ListParagraph"/>
        <w:numPr>
          <w:ilvl w:val="0"/>
          <w:numId w:val="47"/>
        </w:numPr>
        <w:spacing w:line="240" w:lineRule="auto"/>
        <w:ind w:left="1276"/>
        <w:jc w:val="both"/>
        <w:rPr>
          <w:lang w:eastAsia="tr-TR"/>
        </w:rPr>
      </w:pPr>
      <w:r>
        <w:rPr>
          <w:rFonts w:ascii="Times New Roman" w:hAnsi="Times New Roman" w:cs="Times New Roman"/>
          <w:sz w:val="24"/>
          <w:szCs w:val="24"/>
          <w:lang w:eastAsia="tr-TR"/>
        </w:rPr>
        <w:t>F</w:t>
      </w:r>
      <w:r w:rsidR="009A0E06" w:rsidRPr="004E4F3E">
        <w:rPr>
          <w:rFonts w:ascii="Times New Roman" w:hAnsi="Times New Roman" w:cs="Times New Roman"/>
          <w:sz w:val="24"/>
          <w:szCs w:val="24"/>
          <w:lang w:eastAsia="tr-TR"/>
        </w:rPr>
        <w:t>onun yatırım stratejisine ve risk yapısına uygun olması,</w:t>
      </w:r>
    </w:p>
    <w:p w:rsidR="00E263B1" w:rsidRDefault="00E263B1" w:rsidP="0006161B">
      <w:pPr>
        <w:pStyle w:val="ListParagraph"/>
        <w:numPr>
          <w:ilvl w:val="0"/>
          <w:numId w:val="47"/>
        </w:numPr>
        <w:spacing w:line="240" w:lineRule="auto"/>
        <w:ind w:left="1276"/>
        <w:jc w:val="both"/>
        <w:rPr>
          <w:lang w:eastAsia="tr-TR"/>
        </w:rPr>
      </w:pPr>
      <w:r>
        <w:rPr>
          <w:rFonts w:ascii="Times New Roman" w:hAnsi="Times New Roman" w:cs="Times New Roman"/>
          <w:sz w:val="24"/>
          <w:szCs w:val="24"/>
          <w:lang w:eastAsia="tr-TR"/>
        </w:rPr>
        <w:t>Borsada işlem görmesi,</w:t>
      </w:r>
    </w:p>
    <w:p w:rsidR="009A0E06" w:rsidRPr="00923289" w:rsidRDefault="00923289" w:rsidP="0006161B">
      <w:pPr>
        <w:pStyle w:val="ListParagraph"/>
        <w:numPr>
          <w:ilvl w:val="0"/>
          <w:numId w:val="47"/>
        </w:numPr>
        <w:spacing w:line="240" w:lineRule="auto"/>
        <w:ind w:left="1276"/>
        <w:jc w:val="both"/>
        <w:rPr>
          <w:rFonts w:ascii="Times New Roman" w:hAnsi="Times New Roman" w:cs="Times New Roman"/>
          <w:sz w:val="24"/>
          <w:szCs w:val="24"/>
          <w:lang w:eastAsia="tr-TR"/>
        </w:rPr>
      </w:pPr>
      <w:r w:rsidRPr="00923289">
        <w:rPr>
          <w:rFonts w:ascii="Times New Roman" w:hAnsi="Times New Roman" w:cs="Times New Roman"/>
          <w:sz w:val="24"/>
          <w:szCs w:val="24"/>
          <w:lang w:eastAsia="tr-TR"/>
        </w:rPr>
        <w:t>İ</w:t>
      </w:r>
      <w:r w:rsidR="009A0E06" w:rsidRPr="00923289">
        <w:rPr>
          <w:rFonts w:ascii="Times New Roman" w:hAnsi="Times New Roman" w:cs="Times New Roman"/>
          <w:sz w:val="24"/>
          <w:szCs w:val="24"/>
          <w:lang w:eastAsia="tr-TR"/>
        </w:rPr>
        <w:t>hraççısının</w:t>
      </w:r>
      <w:r w:rsidR="003A60A8">
        <w:rPr>
          <w:rFonts w:ascii="Times New Roman" w:hAnsi="Times New Roman" w:cs="Times New Roman"/>
          <w:sz w:val="24"/>
          <w:szCs w:val="24"/>
          <w:lang w:eastAsia="tr-TR"/>
        </w:rPr>
        <w:t xml:space="preserve"> </w:t>
      </w:r>
      <w:r w:rsidR="00DE02F1">
        <w:rPr>
          <w:rFonts w:ascii="Times New Roman" w:hAnsi="Times New Roman" w:cs="Times New Roman"/>
          <w:sz w:val="24"/>
          <w:szCs w:val="24"/>
          <w:lang w:eastAsia="tr-TR"/>
        </w:rPr>
        <w:t>ve</w:t>
      </w:r>
      <w:r w:rsidR="004B239F">
        <w:rPr>
          <w:rFonts w:ascii="Times New Roman" w:hAnsi="Times New Roman" w:cs="Times New Roman"/>
          <w:sz w:val="24"/>
          <w:szCs w:val="24"/>
          <w:lang w:eastAsia="tr-TR"/>
        </w:rPr>
        <w:t>/veya</w:t>
      </w:r>
      <w:r w:rsidR="00DE02F1">
        <w:rPr>
          <w:rFonts w:ascii="Times New Roman" w:hAnsi="Times New Roman" w:cs="Times New Roman"/>
          <w:sz w:val="24"/>
          <w:szCs w:val="24"/>
          <w:lang w:eastAsia="tr-TR"/>
        </w:rPr>
        <w:t xml:space="preserve"> varsa yatırım aracının</w:t>
      </w:r>
      <w:r w:rsidR="001C1293">
        <w:rPr>
          <w:rFonts w:ascii="Times New Roman" w:hAnsi="Times New Roman" w:cs="Times New Roman"/>
          <w:sz w:val="24"/>
          <w:szCs w:val="24"/>
          <w:lang w:eastAsia="tr-TR"/>
        </w:rPr>
        <w:t>,</w:t>
      </w:r>
      <w:r w:rsidR="003A60A8">
        <w:rPr>
          <w:rFonts w:ascii="Times New Roman" w:hAnsi="Times New Roman" w:cs="Times New Roman"/>
          <w:sz w:val="24"/>
          <w:szCs w:val="24"/>
          <w:lang w:eastAsia="tr-TR"/>
        </w:rPr>
        <w:t xml:space="preserve"> </w:t>
      </w:r>
      <w:r w:rsidR="009A0E06" w:rsidRPr="00923289">
        <w:rPr>
          <w:rFonts w:ascii="Times New Roman" w:hAnsi="Times New Roman" w:cs="Times New Roman"/>
          <w:sz w:val="24"/>
          <w:szCs w:val="24"/>
          <w:lang w:eastAsia="tr-TR"/>
        </w:rPr>
        <w:t>Fon Tebliği’nin 32'nci maddesi</w:t>
      </w:r>
      <w:r w:rsidR="0026308F">
        <w:rPr>
          <w:rFonts w:ascii="Times New Roman" w:hAnsi="Times New Roman" w:cs="Times New Roman"/>
          <w:sz w:val="24"/>
          <w:szCs w:val="24"/>
          <w:lang w:eastAsia="tr-TR"/>
        </w:rPr>
        <w:t>nde belirtilen</w:t>
      </w:r>
      <w:r w:rsidR="003A60A8">
        <w:rPr>
          <w:rFonts w:ascii="Times New Roman" w:hAnsi="Times New Roman" w:cs="Times New Roman"/>
          <w:sz w:val="24"/>
          <w:szCs w:val="24"/>
          <w:lang w:eastAsia="tr-TR"/>
        </w:rPr>
        <w:t xml:space="preserve"> </w:t>
      </w:r>
      <w:r w:rsidR="009A0E06" w:rsidRPr="00923289">
        <w:rPr>
          <w:rFonts w:ascii="Times New Roman" w:hAnsi="Times New Roman" w:cs="Times New Roman"/>
          <w:sz w:val="24"/>
          <w:szCs w:val="24"/>
          <w:lang w:eastAsia="tr-TR"/>
        </w:rPr>
        <w:t>derecelendirme notuna sahip olması</w:t>
      </w:r>
      <w:r w:rsidR="0026308F">
        <w:rPr>
          <w:rFonts w:ascii="Times New Roman" w:hAnsi="Times New Roman" w:cs="Times New Roman"/>
          <w:sz w:val="24"/>
          <w:szCs w:val="24"/>
          <w:lang w:eastAsia="tr-TR"/>
        </w:rPr>
        <w:t xml:space="preserve"> ve </w:t>
      </w:r>
      <w:r w:rsidR="0026308F" w:rsidRPr="00637C2D">
        <w:rPr>
          <w:rFonts w:ascii="Times New Roman" w:hAnsi="Times New Roman" w:cs="Times New Roman"/>
          <w:sz w:val="24"/>
          <w:szCs w:val="24"/>
          <w:lang w:eastAsia="tr-TR"/>
        </w:rPr>
        <w:t>derecelendirme notunu içeren belgelerin Y</w:t>
      </w:r>
      <w:r w:rsidR="0026308F">
        <w:rPr>
          <w:rFonts w:ascii="Times New Roman" w:hAnsi="Times New Roman" w:cs="Times New Roman"/>
          <w:sz w:val="24"/>
          <w:szCs w:val="24"/>
          <w:lang w:eastAsia="tr-TR"/>
        </w:rPr>
        <w:t>önetici nezdinde bulundurulması</w:t>
      </w:r>
      <w:r w:rsidR="001C1293">
        <w:rPr>
          <w:rFonts w:ascii="Times New Roman" w:hAnsi="Times New Roman" w:cs="Times New Roman"/>
          <w:sz w:val="24"/>
          <w:szCs w:val="24"/>
          <w:lang w:eastAsia="tr-TR"/>
        </w:rPr>
        <w:t>,</w:t>
      </w:r>
    </w:p>
    <w:p w:rsidR="009A0E06" w:rsidRPr="00923289" w:rsidRDefault="009A0E06" w:rsidP="0006161B">
      <w:pPr>
        <w:pStyle w:val="ListParagraph"/>
        <w:numPr>
          <w:ilvl w:val="0"/>
          <w:numId w:val="47"/>
        </w:numPr>
        <w:spacing w:line="240" w:lineRule="auto"/>
        <w:ind w:left="1276"/>
        <w:jc w:val="both"/>
        <w:rPr>
          <w:rFonts w:ascii="Times New Roman" w:hAnsi="Times New Roman" w:cs="Times New Roman"/>
          <w:sz w:val="24"/>
          <w:szCs w:val="24"/>
          <w:lang w:eastAsia="tr-TR"/>
        </w:rPr>
      </w:pPr>
      <w:r w:rsidRPr="00923289">
        <w:rPr>
          <w:rFonts w:ascii="Times New Roman" w:hAnsi="Times New Roman" w:cs="Times New Roman"/>
          <w:sz w:val="24"/>
          <w:szCs w:val="24"/>
          <w:lang w:eastAsia="tr-TR"/>
        </w:rPr>
        <w:t>Tabi olduğu otorite tarafından yetkilendirilmiş birsaklayıcı kuruluş nezdinde saklanması,</w:t>
      </w:r>
    </w:p>
    <w:p w:rsidR="009A0E06" w:rsidRDefault="009A0E06" w:rsidP="009A0E06">
      <w:pPr>
        <w:spacing w:line="240" w:lineRule="auto"/>
        <w:ind w:left="708"/>
        <w:jc w:val="both"/>
        <w:rPr>
          <w:rFonts w:ascii="Times New Roman" w:hAnsi="Times New Roman" w:cs="Times New Roman"/>
          <w:sz w:val="24"/>
          <w:szCs w:val="24"/>
          <w:lang w:eastAsia="tr-TR"/>
        </w:rPr>
      </w:pPr>
      <w:r w:rsidRPr="004E4F3E">
        <w:rPr>
          <w:rFonts w:ascii="Times New Roman" w:hAnsi="Times New Roman" w:cs="Times New Roman"/>
          <w:sz w:val="24"/>
          <w:szCs w:val="24"/>
          <w:lang w:eastAsia="tr-TR"/>
        </w:rPr>
        <w:t>gerekir.</w:t>
      </w:r>
    </w:p>
    <w:p w:rsidR="00BA0AD8" w:rsidRDefault="001110EE" w:rsidP="001110EE">
      <w:pPr>
        <w:spacing w:line="240" w:lineRule="auto"/>
        <w:ind w:left="708"/>
        <w:jc w:val="both"/>
        <w:rPr>
          <w:rFonts w:ascii="Times New Roman" w:hAnsi="Times New Roman" w:cs="Times New Roman"/>
          <w:sz w:val="24"/>
          <w:szCs w:val="24"/>
          <w:lang w:eastAsia="tr-TR"/>
        </w:rPr>
      </w:pPr>
      <w:r>
        <w:rPr>
          <w:rFonts w:ascii="Times New Roman" w:hAnsi="Times New Roman" w:cs="Times New Roman"/>
          <w:sz w:val="24"/>
          <w:szCs w:val="24"/>
          <w:lang w:eastAsia="tr-TR"/>
        </w:rPr>
        <w:t>B) Türkiye’de ihraç edilmiş</w:t>
      </w:r>
      <w:r w:rsidR="00F532A5">
        <w:rPr>
          <w:rFonts w:ascii="Times New Roman" w:hAnsi="Times New Roman" w:cs="Times New Roman"/>
          <w:sz w:val="24"/>
          <w:szCs w:val="24"/>
          <w:lang w:eastAsia="tr-TR"/>
        </w:rPr>
        <w:t xml:space="preserve"> yapılandırılmış</w:t>
      </w:r>
      <w:r>
        <w:rPr>
          <w:rFonts w:ascii="Times New Roman" w:hAnsi="Times New Roman" w:cs="Times New Roman"/>
          <w:sz w:val="24"/>
          <w:szCs w:val="24"/>
          <w:lang w:eastAsia="tr-TR"/>
        </w:rPr>
        <w:t xml:space="preserve"> yatırım araçlarına ilişkin olarak</w:t>
      </w:r>
      <w:r w:rsidR="0012309E">
        <w:rPr>
          <w:rFonts w:ascii="Times New Roman" w:hAnsi="Times New Roman" w:cs="Times New Roman"/>
          <w:sz w:val="24"/>
          <w:szCs w:val="24"/>
          <w:lang w:eastAsia="tr-TR"/>
        </w:rPr>
        <w:t>,</w:t>
      </w:r>
      <w:r w:rsidR="00BE064B">
        <w:rPr>
          <w:rFonts w:ascii="Times New Roman" w:hAnsi="Times New Roman" w:cs="Times New Roman"/>
          <w:sz w:val="24"/>
          <w:szCs w:val="24"/>
          <w:lang w:eastAsia="tr-TR"/>
        </w:rPr>
        <w:t xml:space="preserve"> </w:t>
      </w:r>
      <w:r w:rsidR="00F40F7D">
        <w:rPr>
          <w:rFonts w:ascii="Times New Roman" w:hAnsi="Times New Roman" w:cs="Times New Roman"/>
          <w:sz w:val="24"/>
          <w:szCs w:val="24"/>
          <w:lang w:eastAsia="tr-TR"/>
        </w:rPr>
        <w:t>(A/ii)</w:t>
      </w:r>
      <w:r w:rsidR="00BE064B">
        <w:rPr>
          <w:rFonts w:ascii="Times New Roman" w:hAnsi="Times New Roman" w:cs="Times New Roman"/>
          <w:sz w:val="24"/>
          <w:szCs w:val="24"/>
          <w:lang w:eastAsia="tr-TR"/>
        </w:rPr>
        <w:t xml:space="preserve"> </w:t>
      </w:r>
      <w:r w:rsidR="00F40F7D">
        <w:rPr>
          <w:rFonts w:ascii="Times New Roman" w:hAnsi="Times New Roman" w:cs="Times New Roman"/>
          <w:sz w:val="24"/>
          <w:szCs w:val="24"/>
          <w:lang w:eastAsia="tr-TR"/>
        </w:rPr>
        <w:t>bendi</w:t>
      </w:r>
      <w:r w:rsidR="00BE064B">
        <w:rPr>
          <w:rFonts w:ascii="Times New Roman" w:hAnsi="Times New Roman" w:cs="Times New Roman"/>
          <w:sz w:val="24"/>
          <w:szCs w:val="24"/>
          <w:lang w:eastAsia="tr-TR"/>
        </w:rPr>
        <w:t xml:space="preserve"> </w:t>
      </w:r>
      <w:r w:rsidR="0012309E">
        <w:rPr>
          <w:rFonts w:ascii="Times New Roman" w:hAnsi="Times New Roman" w:cs="Times New Roman"/>
          <w:sz w:val="24"/>
          <w:szCs w:val="24"/>
          <w:lang w:eastAsia="tr-TR"/>
        </w:rPr>
        <w:t>hariç olmak üzere (A) bendinde belirlenen şartların tamamı aranır. Buna ilaveten, Türkiye’de ihraç edilmiş yapılandırılmış yatırım araçlarının;</w:t>
      </w:r>
    </w:p>
    <w:p w:rsidR="00BA0AD8" w:rsidRPr="0012309E" w:rsidRDefault="0012309E" w:rsidP="0006161B">
      <w:pPr>
        <w:pStyle w:val="ListParagraph"/>
        <w:numPr>
          <w:ilvl w:val="0"/>
          <w:numId w:val="71"/>
        </w:numPr>
        <w:ind w:left="1276" w:hanging="283"/>
        <w:jc w:val="both"/>
        <w:rPr>
          <w:rFonts w:ascii="Times New Roman" w:hAnsi="Times New Roman" w:cs="Times New Roman"/>
          <w:sz w:val="24"/>
          <w:szCs w:val="24"/>
          <w:lang w:eastAsia="tr-TR"/>
        </w:rPr>
      </w:pPr>
      <w:r w:rsidRPr="0012309E">
        <w:rPr>
          <w:rFonts w:ascii="Times New Roman" w:hAnsi="Times New Roman" w:cs="Times New Roman"/>
          <w:sz w:val="24"/>
          <w:szCs w:val="24"/>
          <w:lang w:eastAsia="tr-TR"/>
        </w:rPr>
        <w:t>İ</w:t>
      </w:r>
      <w:r w:rsidR="00BA0AD8" w:rsidRPr="0012309E">
        <w:rPr>
          <w:rFonts w:ascii="Times New Roman" w:hAnsi="Times New Roman" w:cs="Times New Roman"/>
          <w:sz w:val="24"/>
          <w:szCs w:val="24"/>
          <w:lang w:eastAsia="tr-TR"/>
        </w:rPr>
        <w:t>hraç belgesinin Kurulca onaylanmış olması</w:t>
      </w:r>
      <w:r w:rsidRPr="0012309E">
        <w:rPr>
          <w:rFonts w:ascii="Times New Roman" w:hAnsi="Times New Roman" w:cs="Times New Roman"/>
          <w:sz w:val="24"/>
          <w:szCs w:val="24"/>
          <w:lang w:eastAsia="tr-TR"/>
        </w:rPr>
        <w:t>,</w:t>
      </w:r>
    </w:p>
    <w:p w:rsidR="005E0C76" w:rsidRDefault="0012309E" w:rsidP="0006161B">
      <w:pPr>
        <w:pStyle w:val="ListParagraph"/>
        <w:numPr>
          <w:ilvl w:val="0"/>
          <w:numId w:val="71"/>
        </w:numPr>
        <w:ind w:left="1276" w:hanging="196"/>
        <w:jc w:val="both"/>
        <w:rPr>
          <w:rFonts w:ascii="Times New Roman" w:hAnsi="Times New Roman" w:cs="Times New Roman"/>
          <w:sz w:val="24"/>
          <w:szCs w:val="24"/>
          <w:lang w:eastAsia="tr-TR"/>
        </w:rPr>
      </w:pPr>
      <w:r>
        <w:rPr>
          <w:rFonts w:ascii="Times New Roman" w:hAnsi="Times New Roman" w:cs="Times New Roman"/>
          <w:sz w:val="24"/>
          <w:szCs w:val="24"/>
          <w:lang w:eastAsia="tr-TR"/>
        </w:rPr>
        <w:t>F</w:t>
      </w:r>
      <w:r w:rsidR="006B0EBA" w:rsidRPr="006B0EBA">
        <w:rPr>
          <w:rFonts w:ascii="Times New Roman" w:hAnsi="Times New Roman" w:cs="Times New Roman"/>
          <w:sz w:val="24"/>
          <w:szCs w:val="24"/>
          <w:lang w:eastAsia="tr-TR"/>
        </w:rPr>
        <w:t>iyatının veri dağıtım kanalları vasıtasıyla ilan edilmesi</w:t>
      </w:r>
      <w:r>
        <w:rPr>
          <w:rFonts w:ascii="Times New Roman" w:hAnsi="Times New Roman" w:cs="Times New Roman"/>
          <w:sz w:val="24"/>
          <w:szCs w:val="24"/>
          <w:lang w:eastAsia="tr-TR"/>
        </w:rPr>
        <w:t>,</w:t>
      </w:r>
    </w:p>
    <w:p w:rsidR="0012309E" w:rsidRDefault="0012309E" w:rsidP="0006161B">
      <w:pPr>
        <w:pStyle w:val="ListParagraph"/>
        <w:numPr>
          <w:ilvl w:val="0"/>
          <w:numId w:val="71"/>
        </w:numPr>
        <w:ind w:left="1276" w:hanging="142"/>
        <w:jc w:val="both"/>
        <w:rPr>
          <w:rFonts w:ascii="Times New Roman" w:hAnsi="Times New Roman" w:cs="Times New Roman"/>
          <w:sz w:val="24"/>
          <w:szCs w:val="24"/>
          <w:lang w:eastAsia="tr-TR"/>
        </w:rPr>
      </w:pPr>
      <w:r>
        <w:rPr>
          <w:rFonts w:ascii="Times New Roman" w:hAnsi="Times New Roman" w:cs="Times New Roman"/>
          <w:sz w:val="24"/>
          <w:szCs w:val="24"/>
          <w:lang w:eastAsia="tr-TR"/>
        </w:rPr>
        <w:t>F</w:t>
      </w:r>
      <w:r w:rsidR="00E263B1" w:rsidRPr="001110EE">
        <w:rPr>
          <w:rFonts w:ascii="Times New Roman" w:hAnsi="Times New Roman" w:cs="Times New Roman"/>
          <w:sz w:val="24"/>
          <w:szCs w:val="24"/>
          <w:lang w:eastAsia="tr-TR"/>
        </w:rPr>
        <w:t>onun fiyat açıklama dönemlerinde Finansal Raporlama Tebliği düzenlemeleri çerçevesinde gerçeğe uygun değeri üz</w:t>
      </w:r>
      <w:r w:rsidR="00314EFD" w:rsidRPr="001110EE">
        <w:rPr>
          <w:rFonts w:ascii="Times New Roman" w:hAnsi="Times New Roman" w:cs="Times New Roman"/>
          <w:sz w:val="24"/>
          <w:szCs w:val="24"/>
          <w:lang w:eastAsia="tr-TR"/>
        </w:rPr>
        <w:t xml:space="preserve">erinden nakde dönüştürülebilir nitelikte likiditasyona sahip olması </w:t>
      </w:r>
    </w:p>
    <w:p w:rsidR="00E263B1" w:rsidRDefault="00314EFD" w:rsidP="0012309E">
      <w:pPr>
        <w:ind w:firstLine="708"/>
        <w:jc w:val="both"/>
        <w:rPr>
          <w:rFonts w:ascii="Times New Roman" w:hAnsi="Times New Roman" w:cs="Times New Roman"/>
          <w:sz w:val="24"/>
          <w:szCs w:val="24"/>
          <w:lang w:eastAsia="tr-TR"/>
        </w:rPr>
      </w:pPr>
      <w:r w:rsidRPr="0012309E">
        <w:rPr>
          <w:rFonts w:ascii="Times New Roman" w:hAnsi="Times New Roman" w:cs="Times New Roman"/>
          <w:sz w:val="24"/>
          <w:szCs w:val="24"/>
          <w:lang w:eastAsia="tr-TR"/>
        </w:rPr>
        <w:t>zorunludur.</w:t>
      </w:r>
    </w:p>
    <w:p w:rsidR="00116933" w:rsidRPr="00116933" w:rsidRDefault="00116933" w:rsidP="00116933">
      <w:pPr>
        <w:spacing w:after="60" w:line="240" w:lineRule="auto"/>
        <w:ind w:firstLine="567"/>
        <w:jc w:val="both"/>
        <w:rPr>
          <w:rFonts w:ascii="Times New Roman" w:hAnsi="Times New Roman" w:cs="Times New Roman"/>
          <w:sz w:val="24"/>
          <w:szCs w:val="24"/>
        </w:rPr>
      </w:pPr>
      <w:r>
        <w:rPr>
          <w:rFonts w:ascii="Times New Roman" w:hAnsi="Times New Roman" w:cs="Times New Roman"/>
          <w:sz w:val="24"/>
          <w:szCs w:val="24"/>
          <w:lang w:eastAsia="tr-TR"/>
        </w:rPr>
        <w:t xml:space="preserve">C) </w:t>
      </w:r>
      <w:r w:rsidRPr="00116933">
        <w:rPr>
          <w:rFonts w:ascii="Times New Roman" w:hAnsi="Times New Roman" w:cs="Times New Roman"/>
          <w:sz w:val="24"/>
          <w:szCs w:val="24"/>
        </w:rPr>
        <w:t>i)</w:t>
      </w:r>
      <w:r w:rsidRPr="00285440">
        <w:rPr>
          <w:rFonts w:ascii="Times New Roman" w:hAnsi="Times New Roman" w:cs="Times New Roman"/>
          <w:i/>
          <w:sz w:val="24"/>
          <w:szCs w:val="24"/>
        </w:rPr>
        <w:t xml:space="preserve"> </w:t>
      </w:r>
      <w:r w:rsidRPr="00116933">
        <w:rPr>
          <w:rFonts w:ascii="Times New Roman" w:hAnsi="Times New Roman" w:cs="Times New Roman"/>
          <w:sz w:val="24"/>
          <w:szCs w:val="24"/>
        </w:rPr>
        <w:t>İşbu maddenin (A) bendinde belirtilen şartları taşıyan “Borsada İşlem Gören Senetler” (Exchange Traded Notes/ETN) ile (A-iii) nolu alt bent hariç olmak üzere işbu maddenin (A) bendinde belirtilen şartları taşıyan “Borsada İşlem Gören Emtia Ürünleri” (Exchange Traded Commodities/ETC) yapılandırılmış yatırım aracı niteliğinde fon portföylerine dahil edilebilir.</w:t>
      </w:r>
    </w:p>
    <w:p w:rsidR="00116933" w:rsidRPr="00116933" w:rsidRDefault="00116933" w:rsidP="00116933">
      <w:pPr>
        <w:spacing w:after="60" w:line="240" w:lineRule="auto"/>
        <w:ind w:firstLine="567"/>
        <w:jc w:val="both"/>
        <w:rPr>
          <w:rFonts w:ascii="Times New Roman" w:hAnsi="Times New Roman" w:cs="Times New Roman"/>
          <w:sz w:val="24"/>
          <w:szCs w:val="24"/>
        </w:rPr>
      </w:pPr>
      <w:r w:rsidRPr="00116933">
        <w:rPr>
          <w:rFonts w:ascii="Times New Roman" w:hAnsi="Times New Roman" w:cs="Times New Roman"/>
          <w:sz w:val="24"/>
          <w:szCs w:val="24"/>
        </w:rPr>
        <w:t xml:space="preserve">      ii) Serbest fonlar ve unvanında “emtia” ibaresi yer alan fon sepeti fonları dışındaki fonlar tarafından yalnızca kıymetli madenlere veya kıymetli madenler endekslerine dayalı ETC’lere ve işbu Rehber’in (7.3) maddesinde belirtilen dayanak varlıklara dayalı ETN’lere yatırım yapılabilir.</w:t>
      </w:r>
    </w:p>
    <w:p w:rsidR="00116933" w:rsidRPr="00116933" w:rsidRDefault="00116933" w:rsidP="00116933">
      <w:pPr>
        <w:spacing w:after="60" w:line="240" w:lineRule="auto"/>
        <w:ind w:firstLine="567"/>
        <w:jc w:val="both"/>
        <w:rPr>
          <w:rFonts w:ascii="Times New Roman" w:hAnsi="Times New Roman" w:cs="Times New Roman"/>
          <w:sz w:val="24"/>
          <w:szCs w:val="24"/>
        </w:rPr>
      </w:pPr>
      <w:r w:rsidRPr="00116933">
        <w:rPr>
          <w:rFonts w:ascii="Times New Roman" w:hAnsi="Times New Roman" w:cs="Times New Roman"/>
          <w:sz w:val="24"/>
          <w:szCs w:val="24"/>
        </w:rPr>
        <w:t xml:space="preserve">     iii) Fon portföylerine dahil edilen ETC ve ETN’lerin kaldıraçlı olması halinde söz konusu varlıklar kaldıraç yaratan işlem olarak işbu Rehber’in (7.2) nolu maddesinde yer verilen esaslara tabidir</w:t>
      </w:r>
      <w:r>
        <w:rPr>
          <w:rFonts w:ascii="Times New Roman" w:hAnsi="Times New Roman" w:cs="Times New Roman"/>
          <w:sz w:val="24"/>
          <w:szCs w:val="24"/>
        </w:rPr>
        <w:t>.</w:t>
      </w:r>
    </w:p>
    <w:p w:rsidR="00116933" w:rsidRPr="0012309E" w:rsidRDefault="00116933" w:rsidP="0012309E">
      <w:pPr>
        <w:ind w:firstLine="708"/>
        <w:jc w:val="both"/>
        <w:rPr>
          <w:rFonts w:ascii="Times New Roman" w:hAnsi="Times New Roman" w:cs="Times New Roman"/>
          <w:sz w:val="24"/>
          <w:szCs w:val="24"/>
          <w:lang w:eastAsia="tr-TR"/>
        </w:rPr>
      </w:pPr>
    </w:p>
    <w:p w:rsidR="00BA0AD8" w:rsidRDefault="001110EE" w:rsidP="00BA0AD8">
      <w:pPr>
        <w:pStyle w:val="Heading4"/>
        <w:spacing w:after="240"/>
        <w:jc w:val="both"/>
        <w:rPr>
          <w:i w:val="0"/>
        </w:rPr>
      </w:pPr>
      <w:r>
        <w:rPr>
          <w:i w:val="0"/>
        </w:rPr>
        <w:t>4.1.2.2</w:t>
      </w:r>
      <w:r w:rsidR="00BA0AD8" w:rsidRPr="006A36D8">
        <w:rPr>
          <w:i w:val="0"/>
        </w:rPr>
        <w:t xml:space="preserve">. </w:t>
      </w:r>
      <w:r w:rsidR="00D62D4F">
        <w:rPr>
          <w:i w:val="0"/>
        </w:rPr>
        <w:t>İkraz İştirak Senetleri</w:t>
      </w:r>
    </w:p>
    <w:p w:rsidR="003311D9" w:rsidRDefault="001110EE" w:rsidP="00673AF3">
      <w:pPr>
        <w:ind w:firstLine="708"/>
        <w:jc w:val="both"/>
        <w:rPr>
          <w:rFonts w:ascii="Times New Roman" w:hAnsi="Times New Roman" w:cs="Times New Roman"/>
          <w:sz w:val="24"/>
          <w:szCs w:val="24"/>
          <w:lang w:eastAsia="tr-TR"/>
        </w:rPr>
      </w:pPr>
      <w:r w:rsidRPr="001110EE">
        <w:rPr>
          <w:rFonts w:ascii="Times New Roman" w:hAnsi="Times New Roman" w:cs="Times New Roman"/>
          <w:sz w:val="24"/>
          <w:szCs w:val="24"/>
          <w:lang w:eastAsia="tr-TR"/>
        </w:rPr>
        <w:t>Unvanında “yabancı” ibaresine yer verilen fonlar tarafından</w:t>
      </w:r>
      <w:r w:rsidR="00673AF3">
        <w:rPr>
          <w:rFonts w:ascii="Times New Roman" w:hAnsi="Times New Roman" w:cs="Times New Roman"/>
          <w:sz w:val="24"/>
          <w:szCs w:val="24"/>
          <w:lang w:eastAsia="tr-TR"/>
        </w:rPr>
        <w:t>, b</w:t>
      </w:r>
      <w:r w:rsidRPr="00673AF3">
        <w:rPr>
          <w:rFonts w:ascii="Times New Roman" w:hAnsi="Times New Roman" w:cs="Times New Roman"/>
          <w:sz w:val="24"/>
          <w:szCs w:val="24"/>
          <w:lang w:eastAsia="tr-TR"/>
        </w:rPr>
        <w:t>orsada işlem görme şartı hariç olmak üzere</w:t>
      </w:r>
      <w:r w:rsidR="00673AF3" w:rsidRPr="00673AF3">
        <w:rPr>
          <w:rFonts w:ascii="Times New Roman" w:hAnsi="Times New Roman" w:cs="Times New Roman"/>
          <w:sz w:val="24"/>
          <w:szCs w:val="24"/>
          <w:lang w:eastAsia="tr-TR"/>
        </w:rPr>
        <w:t>, b</w:t>
      </w:r>
      <w:r w:rsidRPr="00673AF3">
        <w:rPr>
          <w:rFonts w:ascii="Times New Roman" w:hAnsi="Times New Roman" w:cs="Times New Roman"/>
          <w:sz w:val="24"/>
          <w:szCs w:val="24"/>
          <w:lang w:eastAsia="tr-TR"/>
        </w:rPr>
        <w:t>u Rehber’in (4.1.2.1.A) nolu bölümünde yer alan şartların sağlanması kaydıyla</w:t>
      </w:r>
      <w:r w:rsidR="00BE064B">
        <w:rPr>
          <w:rFonts w:ascii="Times New Roman" w:hAnsi="Times New Roman" w:cs="Times New Roman"/>
          <w:sz w:val="24"/>
          <w:szCs w:val="24"/>
          <w:lang w:eastAsia="tr-TR"/>
        </w:rPr>
        <w:t xml:space="preserve"> </w:t>
      </w:r>
      <w:r w:rsidRPr="00673AF3">
        <w:rPr>
          <w:rFonts w:ascii="Times New Roman" w:hAnsi="Times New Roman" w:cs="Times New Roman"/>
          <w:sz w:val="24"/>
          <w:szCs w:val="24"/>
          <w:lang w:eastAsia="tr-TR"/>
        </w:rPr>
        <w:t>ikraz iştirak senetlerine yatırım yapılabilir.</w:t>
      </w:r>
      <w:r w:rsidR="00673AF3">
        <w:rPr>
          <w:rFonts w:ascii="Times New Roman" w:hAnsi="Times New Roman" w:cs="Times New Roman"/>
          <w:sz w:val="24"/>
          <w:szCs w:val="24"/>
          <w:lang w:eastAsia="tr-TR"/>
        </w:rPr>
        <w:t xml:space="preserve"> </w:t>
      </w:r>
    </w:p>
    <w:p w:rsidR="001110EE" w:rsidRPr="00673AF3" w:rsidRDefault="00673AF3" w:rsidP="00673AF3">
      <w:pPr>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Buna ilaveten, ikraz iştirak senetlerinin;</w:t>
      </w:r>
    </w:p>
    <w:p w:rsidR="00673AF3" w:rsidRDefault="00673AF3" w:rsidP="0006161B">
      <w:pPr>
        <w:pStyle w:val="ListParagraph"/>
        <w:numPr>
          <w:ilvl w:val="0"/>
          <w:numId w:val="72"/>
        </w:numPr>
        <w:ind w:left="1276"/>
        <w:jc w:val="both"/>
        <w:rPr>
          <w:rFonts w:ascii="Times New Roman" w:hAnsi="Times New Roman" w:cs="Times New Roman"/>
          <w:sz w:val="24"/>
          <w:szCs w:val="24"/>
          <w:lang w:eastAsia="tr-TR"/>
        </w:rPr>
      </w:pPr>
      <w:r>
        <w:rPr>
          <w:rFonts w:ascii="Times New Roman" w:hAnsi="Times New Roman" w:cs="Times New Roman"/>
          <w:sz w:val="24"/>
          <w:szCs w:val="24"/>
          <w:lang w:eastAsia="tr-TR"/>
        </w:rPr>
        <w:t>F</w:t>
      </w:r>
      <w:r w:rsidRPr="006B0EBA">
        <w:rPr>
          <w:rFonts w:ascii="Times New Roman" w:hAnsi="Times New Roman" w:cs="Times New Roman"/>
          <w:sz w:val="24"/>
          <w:szCs w:val="24"/>
          <w:lang w:eastAsia="tr-TR"/>
        </w:rPr>
        <w:t>iyatının veri dağıtım kanalları vasıtasıyla ilan edilmesi</w:t>
      </w:r>
      <w:r w:rsidR="00BE064B">
        <w:rPr>
          <w:rFonts w:ascii="Times New Roman" w:hAnsi="Times New Roman" w:cs="Times New Roman"/>
          <w:sz w:val="24"/>
          <w:szCs w:val="24"/>
          <w:lang w:eastAsia="tr-TR"/>
        </w:rPr>
        <w:t>,</w:t>
      </w:r>
    </w:p>
    <w:p w:rsidR="00673AF3" w:rsidRDefault="00673AF3" w:rsidP="0006161B">
      <w:pPr>
        <w:pStyle w:val="ListParagraph"/>
        <w:numPr>
          <w:ilvl w:val="0"/>
          <w:numId w:val="72"/>
        </w:numPr>
        <w:ind w:left="1276"/>
        <w:jc w:val="both"/>
        <w:rPr>
          <w:rFonts w:ascii="Times New Roman" w:hAnsi="Times New Roman" w:cs="Times New Roman"/>
          <w:sz w:val="24"/>
          <w:szCs w:val="24"/>
          <w:lang w:eastAsia="tr-TR"/>
        </w:rPr>
      </w:pPr>
      <w:r>
        <w:rPr>
          <w:rFonts w:ascii="Times New Roman" w:hAnsi="Times New Roman" w:cs="Times New Roman"/>
          <w:sz w:val="24"/>
          <w:szCs w:val="24"/>
          <w:lang w:eastAsia="tr-TR"/>
        </w:rPr>
        <w:t>F</w:t>
      </w:r>
      <w:r w:rsidR="00314EFD" w:rsidRPr="001110EE">
        <w:rPr>
          <w:rFonts w:ascii="Times New Roman" w:hAnsi="Times New Roman" w:cs="Times New Roman"/>
          <w:sz w:val="24"/>
          <w:szCs w:val="24"/>
          <w:lang w:eastAsia="tr-TR"/>
        </w:rPr>
        <w:t>onun fiyat açıklama dönemlerinde Finansal Raporlama Tebliği düzenlemeleri çerçevesinde gerçeğe uygun değeri üzerinden nakde dönüştürülebilir nitelikte likiditasyona sahip olması</w:t>
      </w:r>
    </w:p>
    <w:p w:rsidR="00314EFD" w:rsidRPr="00673AF3" w:rsidRDefault="00314EFD" w:rsidP="003311D9">
      <w:pPr>
        <w:ind w:firstLine="708"/>
        <w:jc w:val="both"/>
        <w:rPr>
          <w:rFonts w:ascii="Times New Roman" w:hAnsi="Times New Roman" w:cs="Times New Roman"/>
          <w:sz w:val="24"/>
          <w:szCs w:val="24"/>
          <w:lang w:eastAsia="tr-TR"/>
        </w:rPr>
      </w:pPr>
      <w:r w:rsidRPr="00673AF3">
        <w:rPr>
          <w:rFonts w:ascii="Times New Roman" w:hAnsi="Times New Roman" w:cs="Times New Roman"/>
          <w:sz w:val="24"/>
          <w:szCs w:val="24"/>
          <w:lang w:eastAsia="tr-TR"/>
        </w:rPr>
        <w:t xml:space="preserve">zorunludur. </w:t>
      </w:r>
    </w:p>
    <w:p w:rsidR="00F71DD4" w:rsidRDefault="00F71DD4" w:rsidP="001A23EB">
      <w:pPr>
        <w:spacing w:after="240" w:line="240" w:lineRule="auto"/>
        <w:ind w:left="708" w:right="-141"/>
        <w:jc w:val="both"/>
        <w:rPr>
          <w:rFonts w:ascii="Times New Roman" w:eastAsia="Times New Roman" w:hAnsi="Times New Roman" w:cs="Times New Roman"/>
          <w:bCs/>
          <w:sz w:val="24"/>
          <w:szCs w:val="24"/>
          <w:lang w:eastAsia="tr-TR"/>
        </w:rPr>
      </w:pPr>
    </w:p>
    <w:p w:rsidR="00CD58BB" w:rsidRPr="000100CE" w:rsidRDefault="009129F5" w:rsidP="001A23EB">
      <w:pPr>
        <w:pStyle w:val="Heading3"/>
        <w:spacing w:after="240"/>
        <w:jc w:val="both"/>
      </w:pPr>
      <w:bookmarkStart w:id="115" w:name="_Toc130312543"/>
      <w:bookmarkStart w:id="116" w:name="_Toc130312675"/>
      <w:r>
        <w:t>4</w:t>
      </w:r>
      <w:r w:rsidR="007F5BE0">
        <w:t>.</w:t>
      </w:r>
      <w:r w:rsidR="00D330E8">
        <w:t>1</w:t>
      </w:r>
      <w:r w:rsidR="004537B8">
        <w:t>.</w:t>
      </w:r>
      <w:r w:rsidR="00435994">
        <w:t>3</w:t>
      </w:r>
      <w:r w:rsidR="001908E2">
        <w:t>.</w:t>
      </w:r>
      <w:r w:rsidR="00D54058">
        <w:t xml:space="preserve"> </w:t>
      </w:r>
      <w:r w:rsidR="00D468D9">
        <w:rPr>
          <w:rFonts w:cs="Times New Roman"/>
          <w:iCs/>
        </w:rPr>
        <w:t>(Değişiklik</w:t>
      </w:r>
      <w:r w:rsidR="00D468D9" w:rsidRPr="00D468D9">
        <w:rPr>
          <w:rFonts w:cs="Times New Roman"/>
          <w:iCs/>
        </w:rPr>
        <w:t>: 29.09.2022 tarih ve 54/1446 sayılı</w:t>
      </w:r>
      <w:r w:rsidR="00D468D9" w:rsidRPr="00E24309">
        <w:rPr>
          <w:rFonts w:cs="Times New Roman"/>
          <w:iCs/>
        </w:rPr>
        <w:t xml:space="preserve"> Kurul Kararı ile)</w:t>
      </w:r>
      <w:r w:rsidR="00D468D9">
        <w:rPr>
          <w:rFonts w:cs="Times New Roman"/>
          <w:iCs/>
        </w:rPr>
        <w:t xml:space="preserve"> </w:t>
      </w:r>
      <w:r w:rsidR="00D468D9">
        <w:t xml:space="preserve">Kıymetli Madenlere </w:t>
      </w:r>
      <w:r w:rsidR="001908E2" w:rsidRPr="0051763D">
        <w:t>Dayalı</w:t>
      </w:r>
      <w:r w:rsidR="0063467A">
        <w:t xml:space="preserve"> Vadeli</w:t>
      </w:r>
      <w:r w:rsidR="00D54058">
        <w:t xml:space="preserve"> </w:t>
      </w:r>
      <w:r w:rsidR="0063467A">
        <w:t>Mevduat ve Katılma Hesapları</w:t>
      </w:r>
      <w:bookmarkEnd w:id="115"/>
      <w:bookmarkEnd w:id="116"/>
    </w:p>
    <w:p w:rsidR="002C3C75" w:rsidRDefault="00EE342A" w:rsidP="00EE342A">
      <w:pPr>
        <w:spacing w:after="240" w:line="240" w:lineRule="auto"/>
        <w:ind w:right="-141"/>
        <w:jc w:val="both"/>
        <w:rPr>
          <w:rFonts w:ascii="Times New Roman" w:hAnsi="Times New Roman" w:cs="Times New Roman"/>
          <w:sz w:val="24"/>
          <w:szCs w:val="24"/>
        </w:rPr>
      </w:pPr>
      <w:r>
        <w:rPr>
          <w:rFonts w:ascii="Times New Roman" w:hAnsi="Times New Roman" w:cs="Times New Roman"/>
          <w:sz w:val="24"/>
          <w:szCs w:val="24"/>
        </w:rPr>
        <w:tab/>
      </w:r>
      <w:r w:rsidR="00D468D9">
        <w:rPr>
          <w:rFonts w:ascii="Times New Roman" w:hAnsi="Times New Roman" w:cs="Times New Roman"/>
          <w:sz w:val="24"/>
          <w:szCs w:val="24"/>
        </w:rPr>
        <w:t>Serbest fonlar hariç olmak üzere, u</w:t>
      </w:r>
      <w:r w:rsidR="00557FC1">
        <w:rPr>
          <w:rFonts w:ascii="Times New Roman" w:hAnsi="Times New Roman" w:cs="Times New Roman"/>
          <w:sz w:val="24"/>
          <w:szCs w:val="24"/>
        </w:rPr>
        <w:t>nvanında “altın”</w:t>
      </w:r>
      <w:r w:rsidR="00D468D9">
        <w:rPr>
          <w:rFonts w:ascii="Times New Roman" w:hAnsi="Times New Roman" w:cs="Times New Roman"/>
          <w:sz w:val="24"/>
          <w:szCs w:val="24"/>
        </w:rPr>
        <w:t xml:space="preserve">, </w:t>
      </w:r>
      <w:r w:rsidR="00D468D9" w:rsidRPr="00D468D9">
        <w:rPr>
          <w:rFonts w:ascii="Times New Roman" w:hAnsi="Times New Roman" w:cs="Times New Roman"/>
          <w:sz w:val="24"/>
          <w:szCs w:val="24"/>
        </w:rPr>
        <w:t>"gümüş" ve "kıymetli madenler" ibareleri</w:t>
      </w:r>
      <w:r w:rsidR="00557FC1">
        <w:rPr>
          <w:rFonts w:ascii="Times New Roman" w:hAnsi="Times New Roman" w:cs="Times New Roman"/>
          <w:sz w:val="24"/>
          <w:szCs w:val="24"/>
        </w:rPr>
        <w:t xml:space="preserve"> yer alan</w:t>
      </w:r>
      <w:r w:rsidR="00FA6259">
        <w:rPr>
          <w:rFonts w:ascii="Times New Roman" w:hAnsi="Times New Roman" w:cs="Times New Roman"/>
          <w:sz w:val="24"/>
          <w:szCs w:val="24"/>
        </w:rPr>
        <w:t xml:space="preserve"> </w:t>
      </w:r>
      <w:r w:rsidR="00EC3318" w:rsidRPr="000100CE">
        <w:rPr>
          <w:rFonts w:ascii="Times New Roman" w:hAnsi="Times New Roman" w:cs="Times New Roman"/>
          <w:sz w:val="24"/>
          <w:szCs w:val="24"/>
        </w:rPr>
        <w:t xml:space="preserve">fonlar </w:t>
      </w:r>
      <w:r w:rsidR="008408A1">
        <w:rPr>
          <w:rFonts w:ascii="Times New Roman" w:hAnsi="Times New Roman" w:cs="Times New Roman"/>
          <w:sz w:val="24"/>
          <w:szCs w:val="24"/>
        </w:rPr>
        <w:t>tarafından;</w:t>
      </w:r>
    </w:p>
    <w:p w:rsidR="00FA6259" w:rsidRPr="00D468D9" w:rsidRDefault="002C3C75" w:rsidP="00D468D9">
      <w:pPr>
        <w:pStyle w:val="ListParagraph"/>
        <w:numPr>
          <w:ilvl w:val="0"/>
          <w:numId w:val="75"/>
        </w:numPr>
        <w:jc w:val="both"/>
        <w:rPr>
          <w:rFonts w:ascii="Times New Roman" w:hAnsi="Times New Roman" w:cs="Times New Roman"/>
          <w:sz w:val="24"/>
          <w:szCs w:val="24"/>
        </w:rPr>
      </w:pPr>
      <w:r w:rsidRPr="00D468D9">
        <w:rPr>
          <w:rFonts w:ascii="Times New Roman" w:hAnsi="Times New Roman" w:cs="Times New Roman"/>
          <w:sz w:val="24"/>
          <w:szCs w:val="24"/>
        </w:rPr>
        <w:t>F</w:t>
      </w:r>
      <w:r w:rsidR="00EC3318" w:rsidRPr="00D468D9">
        <w:rPr>
          <w:rFonts w:ascii="Times New Roman" w:hAnsi="Times New Roman" w:cs="Times New Roman"/>
          <w:sz w:val="24"/>
          <w:szCs w:val="24"/>
        </w:rPr>
        <w:t>on toplam değerinin en fazla %2</w:t>
      </w:r>
      <w:r w:rsidR="004311EB" w:rsidRPr="00D468D9">
        <w:rPr>
          <w:rFonts w:ascii="Times New Roman" w:hAnsi="Times New Roman" w:cs="Times New Roman"/>
          <w:sz w:val="24"/>
          <w:szCs w:val="24"/>
        </w:rPr>
        <w:t>0</w:t>
      </w:r>
      <w:r w:rsidR="00EC3318" w:rsidRPr="00D468D9">
        <w:rPr>
          <w:rFonts w:ascii="Times New Roman" w:hAnsi="Times New Roman" w:cs="Times New Roman"/>
          <w:sz w:val="24"/>
          <w:szCs w:val="24"/>
        </w:rPr>
        <w:t>’</w:t>
      </w:r>
      <w:r w:rsidR="004311EB" w:rsidRPr="00D468D9">
        <w:rPr>
          <w:rFonts w:ascii="Times New Roman" w:hAnsi="Times New Roman" w:cs="Times New Roman"/>
          <w:sz w:val="24"/>
          <w:szCs w:val="24"/>
        </w:rPr>
        <w:t>s</w:t>
      </w:r>
      <w:r w:rsidR="00EC3318" w:rsidRPr="00D468D9">
        <w:rPr>
          <w:rFonts w:ascii="Times New Roman" w:hAnsi="Times New Roman" w:cs="Times New Roman"/>
          <w:sz w:val="24"/>
          <w:szCs w:val="24"/>
        </w:rPr>
        <w:t>i, 12 aydan uzun vadeli olmamak şartıyla, bankalar</w:t>
      </w:r>
      <w:r w:rsidR="00D54058" w:rsidRPr="00D468D9">
        <w:rPr>
          <w:rFonts w:ascii="Times New Roman" w:hAnsi="Times New Roman" w:cs="Times New Roman"/>
          <w:sz w:val="24"/>
          <w:szCs w:val="24"/>
        </w:rPr>
        <w:t xml:space="preserve"> </w:t>
      </w:r>
      <w:r w:rsidR="00EC3318" w:rsidRPr="00D468D9">
        <w:rPr>
          <w:rFonts w:ascii="Times New Roman" w:hAnsi="Times New Roman" w:cs="Times New Roman"/>
          <w:sz w:val="24"/>
          <w:szCs w:val="24"/>
        </w:rPr>
        <w:t xml:space="preserve">nezdinde açılan </w:t>
      </w:r>
      <w:r w:rsidR="00D468D9" w:rsidRPr="00D468D9">
        <w:rPr>
          <w:rFonts w:ascii="Times New Roman" w:hAnsi="Times New Roman" w:cs="Times New Roman"/>
          <w:sz w:val="24"/>
          <w:szCs w:val="24"/>
        </w:rPr>
        <w:t>kıymetli madenlere</w:t>
      </w:r>
      <w:r w:rsidR="005E640F" w:rsidRPr="00D468D9">
        <w:rPr>
          <w:rFonts w:ascii="Times New Roman" w:hAnsi="Times New Roman" w:cs="Times New Roman"/>
          <w:sz w:val="24"/>
          <w:szCs w:val="24"/>
        </w:rPr>
        <w:t xml:space="preserve"> dayalı vadeli mevduat ve katıl</w:t>
      </w:r>
      <w:r w:rsidR="0063467A" w:rsidRPr="00D468D9">
        <w:rPr>
          <w:rFonts w:ascii="Times New Roman" w:hAnsi="Times New Roman" w:cs="Times New Roman"/>
          <w:sz w:val="24"/>
          <w:szCs w:val="24"/>
        </w:rPr>
        <w:t>ma</w:t>
      </w:r>
      <w:r w:rsidR="005E640F" w:rsidRPr="00D468D9">
        <w:rPr>
          <w:rFonts w:ascii="Times New Roman" w:hAnsi="Times New Roman" w:cs="Times New Roman"/>
          <w:sz w:val="24"/>
          <w:szCs w:val="24"/>
        </w:rPr>
        <w:t xml:space="preserve"> </w:t>
      </w:r>
      <w:r w:rsidR="001C3C17" w:rsidRPr="00D468D9">
        <w:rPr>
          <w:rFonts w:ascii="Times New Roman" w:hAnsi="Times New Roman" w:cs="Times New Roman"/>
          <w:sz w:val="24"/>
          <w:szCs w:val="24"/>
        </w:rPr>
        <w:t>hesapları</w:t>
      </w:r>
      <w:r w:rsidR="00D468D9" w:rsidRPr="00D468D9">
        <w:rPr>
          <w:rFonts w:ascii="Times New Roman" w:hAnsi="Times New Roman" w:cs="Times New Roman"/>
          <w:sz w:val="24"/>
          <w:szCs w:val="24"/>
        </w:rPr>
        <w:t xml:space="preserve"> ile vadesiz mevduat/katılma </w:t>
      </w:r>
      <w:r w:rsidR="005E640F" w:rsidRPr="00D468D9">
        <w:rPr>
          <w:rFonts w:ascii="Times New Roman" w:hAnsi="Times New Roman" w:cs="Times New Roman"/>
          <w:sz w:val="24"/>
          <w:szCs w:val="24"/>
        </w:rPr>
        <w:t xml:space="preserve">hesaplarında </w:t>
      </w:r>
      <w:r w:rsidR="008408A1" w:rsidRPr="00D468D9">
        <w:rPr>
          <w:rFonts w:ascii="Times New Roman" w:hAnsi="Times New Roman" w:cs="Times New Roman"/>
          <w:sz w:val="24"/>
          <w:szCs w:val="24"/>
        </w:rPr>
        <w:t>değerlendirilebilir.</w:t>
      </w:r>
      <w:r w:rsidR="00BE064B" w:rsidRPr="00D468D9">
        <w:rPr>
          <w:rFonts w:ascii="Times New Roman" w:hAnsi="Times New Roman" w:cs="Times New Roman"/>
          <w:sz w:val="24"/>
          <w:szCs w:val="24"/>
        </w:rPr>
        <w:t xml:space="preserve"> </w:t>
      </w:r>
      <w:r w:rsidR="00D468D9" w:rsidRPr="00D468D9">
        <w:rPr>
          <w:rFonts w:ascii="Times New Roman" w:hAnsi="Times New Roman" w:cs="Times New Roman"/>
          <w:sz w:val="24"/>
          <w:szCs w:val="24"/>
        </w:rPr>
        <w:t>Söz konusu fonlardan unvanında "katılım" ibaresine de yer</w:t>
      </w:r>
      <w:r w:rsidR="00D468D9">
        <w:rPr>
          <w:rFonts w:ascii="Times New Roman" w:hAnsi="Times New Roman" w:cs="Times New Roman"/>
          <w:sz w:val="24"/>
          <w:szCs w:val="24"/>
        </w:rPr>
        <w:t xml:space="preserve"> </w:t>
      </w:r>
      <w:r w:rsidR="00D468D9" w:rsidRPr="00D468D9">
        <w:rPr>
          <w:rFonts w:ascii="Times New Roman" w:hAnsi="Times New Roman" w:cs="Times New Roman"/>
          <w:sz w:val="24"/>
          <w:szCs w:val="24"/>
        </w:rPr>
        <w:t>verenler için bu oran %25 olarak uygulanır.</w:t>
      </w:r>
      <w:r w:rsidR="00D468D9">
        <w:rPr>
          <w:rFonts w:ascii="Times New Roman" w:hAnsi="Times New Roman" w:cs="Times New Roman"/>
          <w:sz w:val="24"/>
          <w:szCs w:val="24"/>
        </w:rPr>
        <w:t xml:space="preserve"> </w:t>
      </w:r>
      <w:r w:rsidR="00A102F7" w:rsidRPr="00D468D9">
        <w:rPr>
          <w:rFonts w:ascii="Times New Roman" w:hAnsi="Times New Roman" w:cs="Times New Roman"/>
          <w:sz w:val="24"/>
          <w:szCs w:val="24"/>
        </w:rPr>
        <w:t xml:space="preserve">Şu kadar ki, </w:t>
      </w:r>
      <w:r w:rsidR="008340A9" w:rsidRPr="00D468D9">
        <w:rPr>
          <w:rFonts w:ascii="Times New Roman" w:hAnsi="Times New Roman" w:cs="Times New Roman"/>
          <w:sz w:val="24"/>
          <w:szCs w:val="24"/>
        </w:rPr>
        <w:t>nakde dayalı</w:t>
      </w:r>
      <w:r w:rsidR="00A102F7" w:rsidRPr="00D468D9">
        <w:rPr>
          <w:rFonts w:ascii="Times New Roman" w:hAnsi="Times New Roman" w:cs="Times New Roman"/>
          <w:sz w:val="24"/>
          <w:szCs w:val="24"/>
        </w:rPr>
        <w:t xml:space="preserve"> vadeli mevduat ve katılma hesapl</w:t>
      </w:r>
      <w:r w:rsidR="00CA7188" w:rsidRPr="00D468D9">
        <w:rPr>
          <w:rFonts w:ascii="Times New Roman" w:hAnsi="Times New Roman" w:cs="Times New Roman"/>
          <w:sz w:val="24"/>
          <w:szCs w:val="24"/>
        </w:rPr>
        <w:t xml:space="preserve">arında değerlendirilen tutar fon toplam değerinin %10’unu aşamaz ve </w:t>
      </w:r>
      <w:r w:rsidR="00FB21BD" w:rsidRPr="00D468D9">
        <w:rPr>
          <w:rFonts w:ascii="Times New Roman" w:hAnsi="Times New Roman" w:cs="Times New Roman"/>
          <w:sz w:val="24"/>
          <w:szCs w:val="24"/>
        </w:rPr>
        <w:t>%20</w:t>
      </w:r>
      <w:r w:rsidR="00D468D9">
        <w:rPr>
          <w:rFonts w:ascii="Times New Roman" w:hAnsi="Times New Roman" w:cs="Times New Roman"/>
          <w:sz w:val="24"/>
          <w:szCs w:val="24"/>
        </w:rPr>
        <w:t>/%25</w:t>
      </w:r>
      <w:r w:rsidR="00A102F7" w:rsidRPr="00D468D9">
        <w:rPr>
          <w:rFonts w:ascii="Times New Roman" w:hAnsi="Times New Roman" w:cs="Times New Roman"/>
          <w:sz w:val="24"/>
          <w:szCs w:val="24"/>
        </w:rPr>
        <w:t xml:space="preserve"> hesaplama</w:t>
      </w:r>
      <w:r w:rsidR="00FB21BD" w:rsidRPr="00D468D9">
        <w:rPr>
          <w:rFonts w:ascii="Times New Roman" w:hAnsi="Times New Roman" w:cs="Times New Roman"/>
          <w:sz w:val="24"/>
          <w:szCs w:val="24"/>
        </w:rPr>
        <w:t>sın</w:t>
      </w:r>
      <w:r w:rsidR="00A102F7" w:rsidRPr="00D468D9">
        <w:rPr>
          <w:rFonts w:ascii="Times New Roman" w:hAnsi="Times New Roman" w:cs="Times New Roman"/>
          <w:sz w:val="24"/>
          <w:szCs w:val="24"/>
        </w:rPr>
        <w:t>a dahil edilir.</w:t>
      </w:r>
    </w:p>
    <w:p w:rsidR="00FA6259" w:rsidRPr="006806B5" w:rsidRDefault="00FA6259" w:rsidP="006806B5">
      <w:pPr>
        <w:pStyle w:val="ListParagraph"/>
        <w:numPr>
          <w:ilvl w:val="0"/>
          <w:numId w:val="75"/>
        </w:numPr>
        <w:jc w:val="both"/>
        <w:rPr>
          <w:rFonts w:ascii="Times New Roman" w:hAnsi="Times New Roman" w:cs="Times New Roman"/>
          <w:sz w:val="24"/>
          <w:szCs w:val="24"/>
        </w:rPr>
      </w:pPr>
      <w:r w:rsidRPr="006806B5">
        <w:rPr>
          <w:rFonts w:ascii="Times New Roman" w:hAnsi="Times New Roman" w:cs="Times New Roman"/>
          <w:sz w:val="24"/>
          <w:szCs w:val="24"/>
        </w:rPr>
        <w:t xml:space="preserve">Tek bir bankada değerlendirilebilecek </w:t>
      </w:r>
      <w:r w:rsidR="00D468D9">
        <w:rPr>
          <w:rFonts w:ascii="Times New Roman" w:hAnsi="Times New Roman" w:cs="Times New Roman"/>
          <w:sz w:val="24"/>
          <w:szCs w:val="24"/>
        </w:rPr>
        <w:t>kıymetli madenlere</w:t>
      </w:r>
      <w:r w:rsidRPr="006806B5">
        <w:rPr>
          <w:rFonts w:ascii="Times New Roman" w:hAnsi="Times New Roman" w:cs="Times New Roman"/>
          <w:sz w:val="24"/>
          <w:szCs w:val="24"/>
        </w:rPr>
        <w:t xml:space="preserve"> dayalı vadeli mevd</w:t>
      </w:r>
      <w:r w:rsidR="00FB21BD" w:rsidRPr="006806B5">
        <w:rPr>
          <w:rFonts w:ascii="Times New Roman" w:hAnsi="Times New Roman" w:cs="Times New Roman"/>
          <w:sz w:val="24"/>
          <w:szCs w:val="24"/>
        </w:rPr>
        <w:t>u</w:t>
      </w:r>
      <w:r w:rsidRPr="006806B5">
        <w:rPr>
          <w:rFonts w:ascii="Times New Roman" w:hAnsi="Times New Roman" w:cs="Times New Roman"/>
          <w:sz w:val="24"/>
          <w:szCs w:val="24"/>
        </w:rPr>
        <w:t xml:space="preserve">at ve katılma hesabının tutarı fon toplam değerinin %10’unu aşamaz. </w:t>
      </w:r>
      <w:r w:rsidR="00BE064B" w:rsidRPr="006806B5">
        <w:rPr>
          <w:rFonts w:ascii="Times New Roman" w:hAnsi="Times New Roman" w:cs="Times New Roman"/>
          <w:sz w:val="24"/>
          <w:szCs w:val="24"/>
        </w:rPr>
        <w:t xml:space="preserve"> </w:t>
      </w:r>
    </w:p>
    <w:p w:rsidR="00444D1A" w:rsidRDefault="009129F5" w:rsidP="00160040">
      <w:pPr>
        <w:pStyle w:val="Heading3"/>
        <w:spacing w:after="240"/>
        <w:jc w:val="both"/>
      </w:pPr>
      <w:bookmarkStart w:id="117" w:name="_Toc130312544"/>
      <w:bookmarkStart w:id="118" w:name="_Toc130312676"/>
      <w:r>
        <w:t>4</w:t>
      </w:r>
      <w:r w:rsidR="00751208" w:rsidRPr="00751208">
        <w:t>.1.</w:t>
      </w:r>
      <w:r w:rsidR="00435994">
        <w:t>4</w:t>
      </w:r>
      <w:r w:rsidR="00751208" w:rsidRPr="00751208">
        <w:t>.</w:t>
      </w:r>
      <w:r w:rsidR="006806B5">
        <w:t xml:space="preserve"> </w:t>
      </w:r>
      <w:r w:rsidR="00160040">
        <w:t xml:space="preserve">(Değişiklik: 01.03.2018 tarih ve 9/316 sayılı Kurul Kararı ile) </w:t>
      </w:r>
      <w:r w:rsidR="00444D1A">
        <w:t>Vadeli</w:t>
      </w:r>
      <w:r w:rsidR="00160040">
        <w:t xml:space="preserve"> </w:t>
      </w:r>
      <w:r w:rsidR="00444D1A">
        <w:t>Mevduat</w:t>
      </w:r>
      <w:r w:rsidR="0063467A">
        <w:t>/Katılma</w:t>
      </w:r>
      <w:r w:rsidR="00444D1A">
        <w:t xml:space="preserve"> Hesabına İlişkin Sınırlama</w:t>
      </w:r>
      <w:bookmarkEnd w:id="117"/>
      <w:bookmarkEnd w:id="118"/>
    </w:p>
    <w:p w:rsidR="00444D1A" w:rsidRDefault="00444D1A" w:rsidP="007662DA">
      <w:pPr>
        <w:ind w:firstLine="708"/>
        <w:jc w:val="both"/>
        <w:rPr>
          <w:rFonts w:ascii="Times New Roman" w:eastAsia="Times New Roman" w:hAnsi="Times New Roman" w:cs="Times New Roman"/>
          <w:color w:val="000000"/>
          <w:sz w:val="24"/>
          <w:szCs w:val="24"/>
          <w:lang w:eastAsia="tr-TR"/>
        </w:rPr>
      </w:pPr>
      <w:r w:rsidRPr="00444D1A">
        <w:rPr>
          <w:rFonts w:ascii="Times New Roman" w:eastAsia="Times New Roman" w:hAnsi="Times New Roman" w:cs="Times New Roman"/>
          <w:color w:val="000000"/>
          <w:sz w:val="24"/>
          <w:szCs w:val="24"/>
          <w:lang w:eastAsia="tr-TR"/>
        </w:rPr>
        <w:t xml:space="preserve">Fon Tebliği’nin </w:t>
      </w:r>
      <w:r>
        <w:rPr>
          <w:rFonts w:ascii="Times New Roman" w:eastAsia="Times New Roman" w:hAnsi="Times New Roman" w:cs="Times New Roman"/>
          <w:color w:val="000000"/>
          <w:sz w:val="24"/>
          <w:szCs w:val="24"/>
          <w:lang w:eastAsia="tr-TR"/>
        </w:rPr>
        <w:t>1</w:t>
      </w:r>
      <w:r w:rsidRPr="00444D1A">
        <w:rPr>
          <w:rFonts w:ascii="Times New Roman" w:eastAsia="Times New Roman" w:hAnsi="Times New Roman" w:cs="Times New Roman"/>
          <w:color w:val="000000"/>
          <w:sz w:val="24"/>
          <w:szCs w:val="24"/>
          <w:lang w:eastAsia="tr-TR"/>
        </w:rPr>
        <w:t>7</w:t>
      </w:r>
      <w:r w:rsidR="0063467A">
        <w:rPr>
          <w:rFonts w:ascii="Times New Roman" w:eastAsia="Times New Roman" w:hAnsi="Times New Roman" w:cs="Times New Roman"/>
          <w:color w:val="000000"/>
          <w:sz w:val="24"/>
          <w:szCs w:val="24"/>
          <w:lang w:eastAsia="tr-TR"/>
        </w:rPr>
        <w:t>’nci</w:t>
      </w:r>
      <w:r w:rsidRPr="00444D1A">
        <w:rPr>
          <w:rFonts w:ascii="Times New Roman" w:eastAsia="Times New Roman" w:hAnsi="Times New Roman" w:cs="Times New Roman"/>
          <w:color w:val="000000"/>
          <w:sz w:val="24"/>
          <w:szCs w:val="24"/>
          <w:lang w:eastAsia="tr-TR"/>
        </w:rPr>
        <w:t xml:space="preserve"> maddesinin </w:t>
      </w:r>
      <w:r>
        <w:rPr>
          <w:rFonts w:ascii="Times New Roman" w:eastAsia="Times New Roman" w:hAnsi="Times New Roman" w:cs="Times New Roman"/>
          <w:color w:val="000000"/>
          <w:sz w:val="24"/>
          <w:szCs w:val="24"/>
          <w:lang w:eastAsia="tr-TR"/>
        </w:rPr>
        <w:t>birinci</w:t>
      </w:r>
      <w:r w:rsidRPr="00444D1A">
        <w:rPr>
          <w:rFonts w:ascii="Times New Roman" w:eastAsia="Times New Roman" w:hAnsi="Times New Roman" w:cs="Times New Roman"/>
          <w:color w:val="000000"/>
          <w:sz w:val="24"/>
          <w:szCs w:val="24"/>
          <w:lang w:eastAsia="tr-TR"/>
        </w:rPr>
        <w:t xml:space="preserve"> fıkrası</w:t>
      </w:r>
      <w:r>
        <w:rPr>
          <w:rFonts w:ascii="Times New Roman" w:eastAsia="Times New Roman" w:hAnsi="Times New Roman" w:cs="Times New Roman"/>
          <w:color w:val="000000"/>
          <w:sz w:val="24"/>
          <w:szCs w:val="24"/>
          <w:lang w:eastAsia="tr-TR"/>
        </w:rPr>
        <w:t>nın (a)</w:t>
      </w:r>
      <w:r w:rsidR="00160040">
        <w:rPr>
          <w:rFonts w:ascii="Times New Roman" w:eastAsia="Times New Roman" w:hAnsi="Times New Roman" w:cs="Times New Roman"/>
          <w:color w:val="000000"/>
          <w:sz w:val="24"/>
          <w:szCs w:val="24"/>
          <w:lang w:eastAsia="tr-TR"/>
        </w:rPr>
        <w:t xml:space="preserve">, (b) ve (c) </w:t>
      </w:r>
      <w:r>
        <w:rPr>
          <w:rFonts w:ascii="Times New Roman" w:eastAsia="Times New Roman" w:hAnsi="Times New Roman" w:cs="Times New Roman"/>
          <w:color w:val="000000"/>
          <w:sz w:val="24"/>
          <w:szCs w:val="24"/>
          <w:lang w:eastAsia="tr-TR"/>
        </w:rPr>
        <w:t xml:space="preserve"> ben</w:t>
      </w:r>
      <w:r w:rsidR="00160187">
        <w:rPr>
          <w:rFonts w:ascii="Times New Roman" w:eastAsia="Times New Roman" w:hAnsi="Times New Roman" w:cs="Times New Roman"/>
          <w:color w:val="000000"/>
          <w:sz w:val="24"/>
          <w:szCs w:val="24"/>
          <w:lang w:eastAsia="tr-TR"/>
        </w:rPr>
        <w:t>tleri</w:t>
      </w:r>
      <w:r w:rsidRPr="00444D1A">
        <w:rPr>
          <w:rFonts w:ascii="Times New Roman" w:eastAsia="Times New Roman" w:hAnsi="Times New Roman" w:cs="Times New Roman"/>
          <w:color w:val="000000"/>
          <w:sz w:val="24"/>
          <w:szCs w:val="24"/>
          <w:lang w:eastAsia="tr-TR"/>
        </w:rPr>
        <w:t xml:space="preserve"> uyarınca </w:t>
      </w:r>
      <w:r>
        <w:rPr>
          <w:rFonts w:ascii="Times New Roman" w:eastAsia="Times New Roman" w:hAnsi="Times New Roman" w:cs="Times New Roman"/>
          <w:color w:val="000000"/>
          <w:sz w:val="24"/>
          <w:szCs w:val="24"/>
          <w:lang w:eastAsia="tr-TR"/>
        </w:rPr>
        <w:t>yapılacak kontrol</w:t>
      </w:r>
      <w:r w:rsidR="00160040">
        <w:rPr>
          <w:rFonts w:ascii="Times New Roman" w:eastAsia="Times New Roman" w:hAnsi="Times New Roman" w:cs="Times New Roman"/>
          <w:color w:val="000000"/>
          <w:sz w:val="24"/>
          <w:szCs w:val="24"/>
          <w:lang w:eastAsia="tr-TR"/>
        </w:rPr>
        <w:t>ler</w:t>
      </w:r>
      <w:r>
        <w:rPr>
          <w:rFonts w:ascii="Times New Roman" w:eastAsia="Times New Roman" w:hAnsi="Times New Roman" w:cs="Times New Roman"/>
          <w:color w:val="000000"/>
          <w:sz w:val="24"/>
          <w:szCs w:val="24"/>
          <w:lang w:eastAsia="tr-TR"/>
        </w:rPr>
        <w:t>de, aynı ihraççı nezdinde</w:t>
      </w:r>
      <w:r w:rsidR="0063467A">
        <w:rPr>
          <w:rFonts w:ascii="Times New Roman" w:eastAsia="Times New Roman" w:hAnsi="Times New Roman" w:cs="Times New Roman"/>
          <w:color w:val="000000"/>
          <w:sz w:val="24"/>
          <w:szCs w:val="24"/>
          <w:lang w:eastAsia="tr-TR"/>
        </w:rPr>
        <w:t xml:space="preserve">ki </w:t>
      </w:r>
      <w:r w:rsidRPr="00444D1A">
        <w:rPr>
          <w:rFonts w:ascii="Times New Roman" w:eastAsia="Times New Roman" w:hAnsi="Times New Roman" w:cs="Times New Roman"/>
          <w:color w:val="000000"/>
          <w:sz w:val="24"/>
          <w:szCs w:val="24"/>
          <w:lang w:eastAsia="tr-TR"/>
        </w:rPr>
        <w:t>mevduat/katılma hesapları</w:t>
      </w:r>
      <w:r>
        <w:rPr>
          <w:rFonts w:ascii="Times New Roman" w:eastAsia="Times New Roman" w:hAnsi="Times New Roman" w:cs="Times New Roman"/>
          <w:color w:val="000000"/>
          <w:sz w:val="24"/>
          <w:szCs w:val="24"/>
          <w:lang w:eastAsia="tr-TR"/>
        </w:rPr>
        <w:t xml:space="preserve"> da dikkate alınır. </w:t>
      </w:r>
    </w:p>
    <w:p w:rsidR="0076180C" w:rsidRPr="00444D1A" w:rsidRDefault="0076180C" w:rsidP="00444D1A">
      <w:pPr>
        <w:ind w:firstLine="708"/>
        <w:jc w:val="both"/>
        <w:rPr>
          <w:rFonts w:ascii="Times New Roman" w:eastAsia="Times New Roman" w:hAnsi="Times New Roman" w:cs="Times New Roman"/>
          <w:color w:val="000000"/>
          <w:sz w:val="24"/>
          <w:szCs w:val="24"/>
          <w:lang w:eastAsia="tr-TR"/>
        </w:rPr>
      </w:pPr>
    </w:p>
    <w:p w:rsidR="00751208" w:rsidRDefault="00435994" w:rsidP="004032AF">
      <w:pPr>
        <w:pStyle w:val="Heading3"/>
        <w:spacing w:after="240"/>
      </w:pPr>
      <w:bookmarkStart w:id="119" w:name="_Toc130312545"/>
      <w:bookmarkStart w:id="120" w:name="_Toc130312677"/>
      <w:r>
        <w:t>4.1.5</w:t>
      </w:r>
      <w:r w:rsidR="00444D1A">
        <w:t xml:space="preserve">. </w:t>
      </w:r>
      <w:r w:rsidR="00325236">
        <w:t>Yurtdışında İhraç Edilen</w:t>
      </w:r>
      <w:r w:rsidR="00751208" w:rsidRPr="00751208">
        <w:t xml:space="preserve"> Para ve Sermaye Piyasası Araçları</w:t>
      </w:r>
      <w:bookmarkEnd w:id="119"/>
      <w:bookmarkEnd w:id="120"/>
    </w:p>
    <w:p w:rsidR="00751208" w:rsidRPr="006806B5" w:rsidRDefault="00751208" w:rsidP="004032AF">
      <w:pPr>
        <w:pStyle w:val="ListParagraph"/>
        <w:numPr>
          <w:ilvl w:val="0"/>
          <w:numId w:val="76"/>
        </w:numPr>
        <w:spacing w:after="240"/>
        <w:jc w:val="both"/>
        <w:rPr>
          <w:rFonts w:ascii="Times New Roman" w:hAnsi="Times New Roman" w:cs="Times New Roman"/>
          <w:sz w:val="24"/>
          <w:szCs w:val="24"/>
        </w:rPr>
      </w:pPr>
      <w:r w:rsidRPr="006806B5">
        <w:rPr>
          <w:rFonts w:ascii="Times New Roman" w:hAnsi="Times New Roman" w:cs="Times New Roman"/>
          <w:sz w:val="24"/>
          <w:szCs w:val="24"/>
        </w:rPr>
        <w:t xml:space="preserve">Fon Tebliği’nin </w:t>
      </w:r>
      <w:r w:rsidR="0063467A" w:rsidRPr="006806B5">
        <w:rPr>
          <w:rFonts w:ascii="Times New Roman" w:hAnsi="Times New Roman" w:cs="Times New Roman"/>
          <w:sz w:val="24"/>
          <w:szCs w:val="24"/>
        </w:rPr>
        <w:t>7’nci</w:t>
      </w:r>
      <w:r w:rsidRPr="006806B5">
        <w:rPr>
          <w:rFonts w:ascii="Times New Roman" w:hAnsi="Times New Roman" w:cs="Times New Roman"/>
          <w:sz w:val="24"/>
          <w:szCs w:val="24"/>
        </w:rPr>
        <w:t xml:space="preserve"> maddesinin beşinci fıkrası uyarınca, unvanında “yabancı”</w:t>
      </w:r>
      <w:r w:rsidR="00DC6F38" w:rsidRPr="00DC6F38">
        <w:rPr>
          <w:rFonts w:ascii="Times New Roman" w:hAnsi="Times New Roman" w:cs="Times New Roman"/>
          <w:sz w:val="24"/>
          <w:szCs w:val="24"/>
        </w:rPr>
        <w:t xml:space="preserve"> veya “(Döviz)”</w:t>
      </w:r>
      <w:r w:rsidRPr="006806B5">
        <w:rPr>
          <w:rFonts w:ascii="Times New Roman" w:hAnsi="Times New Roman" w:cs="Times New Roman"/>
          <w:sz w:val="24"/>
          <w:szCs w:val="24"/>
        </w:rPr>
        <w:t xml:space="preserve"> ibaresi yer almayan hisse senedi ve borçlanma araçları fonları tarafından, fon toplam değerinin en fazla %20’si oranında yabancı para ve sermaye piyasası araçları fon portföyüne dahil edilebilir. Bu durumda, anılan fonların portföylerindeki yabancı para ve sermaye piyasası araçları, Fon Tebliği’nin 6</w:t>
      </w:r>
      <w:r w:rsidR="00D235CC" w:rsidRPr="006806B5">
        <w:rPr>
          <w:rFonts w:ascii="Times New Roman" w:hAnsi="Times New Roman" w:cs="Times New Roman"/>
          <w:sz w:val="24"/>
          <w:szCs w:val="24"/>
        </w:rPr>
        <w:t>’ncı</w:t>
      </w:r>
      <w:r w:rsidRPr="006806B5">
        <w:rPr>
          <w:rFonts w:ascii="Times New Roman" w:hAnsi="Times New Roman" w:cs="Times New Roman"/>
          <w:sz w:val="24"/>
          <w:szCs w:val="24"/>
        </w:rPr>
        <w:t xml:space="preserve"> maddesinin birinci fıkrasının (a) bendinde yer alan %80 oranının hesaplanmasında dikkate alınır.</w:t>
      </w:r>
    </w:p>
    <w:p w:rsidR="00394B99" w:rsidRPr="006806B5" w:rsidRDefault="0075440B" w:rsidP="006806B5">
      <w:pPr>
        <w:pStyle w:val="ListParagraph"/>
        <w:numPr>
          <w:ilvl w:val="0"/>
          <w:numId w:val="76"/>
        </w:numPr>
        <w:jc w:val="both"/>
        <w:rPr>
          <w:rFonts w:ascii="Times New Roman" w:hAnsi="Times New Roman" w:cs="Times New Roman"/>
          <w:sz w:val="24"/>
          <w:szCs w:val="24"/>
        </w:rPr>
      </w:pPr>
      <w:r w:rsidRPr="006806B5">
        <w:rPr>
          <w:rFonts w:ascii="Times New Roman" w:hAnsi="Times New Roman" w:cs="Times New Roman"/>
          <w:sz w:val="24"/>
          <w:szCs w:val="24"/>
        </w:rPr>
        <w:t>Yur</w:t>
      </w:r>
      <w:r w:rsidR="00776402" w:rsidRPr="006806B5">
        <w:rPr>
          <w:rFonts w:ascii="Times New Roman" w:hAnsi="Times New Roman" w:cs="Times New Roman"/>
          <w:sz w:val="24"/>
          <w:szCs w:val="24"/>
        </w:rPr>
        <w:t>t</w:t>
      </w:r>
      <w:r w:rsidRPr="006806B5">
        <w:rPr>
          <w:rFonts w:ascii="Times New Roman" w:hAnsi="Times New Roman" w:cs="Times New Roman"/>
          <w:sz w:val="24"/>
          <w:szCs w:val="24"/>
        </w:rPr>
        <w:t>dışında ihraç edilen borçlanma araçlarının</w:t>
      </w:r>
      <w:r w:rsidR="00EE342A" w:rsidRPr="006806B5">
        <w:rPr>
          <w:rFonts w:ascii="Times New Roman" w:hAnsi="Times New Roman" w:cs="Times New Roman"/>
          <w:sz w:val="24"/>
          <w:szCs w:val="24"/>
        </w:rPr>
        <w:t xml:space="preserve"> ve kira sertifikalarının</w:t>
      </w:r>
      <w:r w:rsidRPr="006806B5">
        <w:rPr>
          <w:rFonts w:ascii="Times New Roman" w:hAnsi="Times New Roman" w:cs="Times New Roman"/>
          <w:sz w:val="24"/>
          <w:szCs w:val="24"/>
        </w:rPr>
        <w:t>, tabi olduğu otorite tarafından yetkilendirilmiş bir saklayıcı kuruluş nezdinde saklanması, fiyatının veri dağıtım kanalları vasıtasıyla ilan edilmesi ve fonun fiyat açıklama dönemlerinde Finansal Raporlama Tebliğ</w:t>
      </w:r>
      <w:r w:rsidR="008E4F8A" w:rsidRPr="006806B5">
        <w:rPr>
          <w:rFonts w:ascii="Times New Roman" w:hAnsi="Times New Roman" w:cs="Times New Roman"/>
          <w:sz w:val="24"/>
          <w:szCs w:val="24"/>
        </w:rPr>
        <w:t>i</w:t>
      </w:r>
      <w:r w:rsidRPr="006806B5">
        <w:rPr>
          <w:rFonts w:ascii="Times New Roman" w:hAnsi="Times New Roman" w:cs="Times New Roman"/>
          <w:sz w:val="24"/>
          <w:szCs w:val="24"/>
        </w:rPr>
        <w:t xml:space="preserve"> düzenlemeleri çerçevesinde gerçeğe uygun değeri üzerinden nakde dönüştürülebil</w:t>
      </w:r>
      <w:r w:rsidR="00BD7745" w:rsidRPr="006806B5">
        <w:rPr>
          <w:rFonts w:ascii="Times New Roman" w:hAnsi="Times New Roman" w:cs="Times New Roman"/>
          <w:sz w:val="24"/>
          <w:szCs w:val="24"/>
        </w:rPr>
        <w:t>ecek nitelikte likiditasyona sahip</w:t>
      </w:r>
      <w:r w:rsidR="009612E3" w:rsidRPr="006806B5">
        <w:rPr>
          <w:rFonts w:ascii="Times New Roman" w:hAnsi="Times New Roman" w:cs="Times New Roman"/>
          <w:sz w:val="24"/>
          <w:szCs w:val="24"/>
        </w:rPr>
        <w:t xml:space="preserve"> </w:t>
      </w:r>
      <w:r w:rsidRPr="006806B5">
        <w:rPr>
          <w:rFonts w:ascii="Times New Roman" w:hAnsi="Times New Roman" w:cs="Times New Roman"/>
          <w:sz w:val="24"/>
          <w:szCs w:val="24"/>
        </w:rPr>
        <w:t>olması şartlarıyla</w:t>
      </w:r>
      <w:r w:rsidR="00E92D56" w:rsidRPr="006806B5">
        <w:rPr>
          <w:rFonts w:ascii="Times New Roman" w:hAnsi="Times New Roman" w:cs="Times New Roman"/>
          <w:sz w:val="24"/>
          <w:szCs w:val="24"/>
        </w:rPr>
        <w:t>,</w:t>
      </w:r>
      <w:r w:rsidR="00165A91" w:rsidRPr="006806B5">
        <w:rPr>
          <w:rFonts w:ascii="Times New Roman" w:hAnsi="Times New Roman" w:cs="Times New Roman"/>
          <w:sz w:val="24"/>
          <w:szCs w:val="24"/>
        </w:rPr>
        <w:t xml:space="preserve"> </w:t>
      </w:r>
      <w:r w:rsidR="00023086" w:rsidRPr="006806B5">
        <w:rPr>
          <w:rFonts w:ascii="Times New Roman" w:hAnsi="Times New Roman" w:cs="Times New Roman"/>
          <w:sz w:val="24"/>
          <w:szCs w:val="24"/>
        </w:rPr>
        <w:t>yurtdışında</w:t>
      </w:r>
      <w:r w:rsidR="00165A91" w:rsidRPr="006806B5">
        <w:rPr>
          <w:rFonts w:ascii="Times New Roman" w:hAnsi="Times New Roman" w:cs="Times New Roman"/>
          <w:sz w:val="24"/>
          <w:szCs w:val="24"/>
        </w:rPr>
        <w:t xml:space="preserve"> </w:t>
      </w:r>
      <w:r w:rsidRPr="006806B5">
        <w:rPr>
          <w:rFonts w:ascii="Times New Roman" w:hAnsi="Times New Roman" w:cs="Times New Roman"/>
          <w:sz w:val="24"/>
          <w:szCs w:val="24"/>
        </w:rPr>
        <w:t xml:space="preserve">borsa dışından fon portföyüne dahil edilmesi mümkündür. </w:t>
      </w:r>
    </w:p>
    <w:p w:rsidR="00FF0603" w:rsidRDefault="00011D98" w:rsidP="006806B5">
      <w:pPr>
        <w:pStyle w:val="ListParagraph"/>
        <w:numPr>
          <w:ilvl w:val="0"/>
          <w:numId w:val="76"/>
        </w:numPr>
        <w:jc w:val="both"/>
        <w:rPr>
          <w:rFonts w:ascii="Times New Roman" w:hAnsi="Times New Roman" w:cs="Times New Roman"/>
          <w:sz w:val="24"/>
          <w:szCs w:val="24"/>
        </w:rPr>
      </w:pPr>
      <w:r w:rsidRPr="006806B5">
        <w:rPr>
          <w:rFonts w:ascii="Times New Roman" w:hAnsi="Times New Roman" w:cs="Times New Roman"/>
          <w:sz w:val="24"/>
          <w:szCs w:val="24"/>
        </w:rPr>
        <w:t>Fon portföyüne sadece derecelendirmeye tabi tutulmuş yurtdışında ihraç edilen borçlanma araçlarının ve kira sertifikaları alınabilir.</w:t>
      </w:r>
      <w:r w:rsidR="00394B99" w:rsidRPr="006806B5">
        <w:rPr>
          <w:rFonts w:ascii="Times New Roman" w:hAnsi="Times New Roman" w:cs="Times New Roman"/>
          <w:sz w:val="24"/>
          <w:szCs w:val="24"/>
        </w:rPr>
        <w:t xml:space="preserve"> İlgili aracın derecesini belirleyen belgeler yönetici nezdinde bulundurulur.</w:t>
      </w:r>
    </w:p>
    <w:p w:rsidR="00071DD1" w:rsidRPr="00071DD1" w:rsidRDefault="00071DD1" w:rsidP="006806B5">
      <w:pPr>
        <w:pStyle w:val="ListParagraph"/>
        <w:numPr>
          <w:ilvl w:val="0"/>
          <w:numId w:val="76"/>
        </w:numPr>
        <w:jc w:val="both"/>
        <w:rPr>
          <w:rFonts w:ascii="Times New Roman" w:hAnsi="Times New Roman" w:cs="Times New Roman"/>
          <w:sz w:val="24"/>
          <w:szCs w:val="24"/>
        </w:rPr>
      </w:pPr>
      <w:r w:rsidRPr="00071DD1">
        <w:rPr>
          <w:rFonts w:ascii="Times New Roman" w:eastAsiaTheme="majorEastAsia" w:hAnsi="Times New Roman" w:cstheme="majorBidi"/>
          <w:b/>
          <w:sz w:val="24"/>
          <w:szCs w:val="24"/>
        </w:rPr>
        <w:t>(Ek</w:t>
      </w:r>
      <w:r w:rsidR="007E124F">
        <w:rPr>
          <w:rFonts w:ascii="Times New Roman" w:eastAsiaTheme="majorEastAsia" w:hAnsi="Times New Roman" w:cstheme="majorBidi"/>
          <w:b/>
          <w:sz w:val="24"/>
          <w:szCs w:val="24"/>
        </w:rPr>
        <w:t xml:space="preserve"> bent</w:t>
      </w:r>
      <w:r w:rsidRPr="00071DD1">
        <w:rPr>
          <w:rFonts w:ascii="Times New Roman" w:eastAsiaTheme="majorEastAsia" w:hAnsi="Times New Roman" w:cstheme="majorBidi"/>
          <w:b/>
          <w:sz w:val="24"/>
          <w:szCs w:val="24"/>
        </w:rPr>
        <w:t>: 09.05.2017 tarih ve 20/688 sayılı Kurul Kararı ile)</w:t>
      </w:r>
      <w:r>
        <w:rPr>
          <w:rFonts w:ascii="Times New Roman" w:eastAsiaTheme="majorEastAsia" w:hAnsi="Times New Roman" w:cstheme="majorBidi"/>
          <w:b/>
          <w:sz w:val="24"/>
          <w:szCs w:val="24"/>
        </w:rPr>
        <w:t xml:space="preserve"> </w:t>
      </w:r>
      <w:r w:rsidRPr="00071DD1">
        <w:rPr>
          <w:rFonts w:ascii="Times New Roman" w:hAnsi="Times New Roman" w:cs="Times New Roman"/>
          <w:sz w:val="24"/>
          <w:szCs w:val="24"/>
        </w:rPr>
        <w:t>Unvanında “Yabancı” ibaresine yer verilmeyen fonlar tarafından yabancı kamu borçlanma araçlarına aynı ihraç bazında yapılan yatırımlar fon toplam değerinin %10’unu aşamaz. Unvanında “Yabancı” ibaresine yer verilen fonlar için ise bu oran %35 olarak uygulanır. Yabancı kamu borçlanma araçları Fon Tebliği’nin 17. maddesinin birinci fıkrası kapsamında yapılacak ihraççı sınırı kontrollerinde dikkate alınmaz</w:t>
      </w:r>
      <w:r>
        <w:rPr>
          <w:rFonts w:ascii="Times New Roman" w:hAnsi="Times New Roman" w:cs="Times New Roman"/>
          <w:sz w:val="24"/>
          <w:szCs w:val="24"/>
        </w:rPr>
        <w:t>.</w:t>
      </w:r>
    </w:p>
    <w:p w:rsidR="004032AF" w:rsidRDefault="004032AF" w:rsidP="004032AF">
      <w:pPr>
        <w:pStyle w:val="ListParagraph"/>
        <w:jc w:val="both"/>
        <w:rPr>
          <w:rFonts w:ascii="Times New Roman" w:hAnsi="Times New Roman" w:cs="Times New Roman"/>
          <w:sz w:val="24"/>
          <w:szCs w:val="24"/>
        </w:rPr>
      </w:pPr>
    </w:p>
    <w:p w:rsidR="00435994" w:rsidRDefault="00435994" w:rsidP="00435994">
      <w:pPr>
        <w:pStyle w:val="Heading3"/>
        <w:spacing w:after="240"/>
        <w:jc w:val="both"/>
      </w:pPr>
      <w:bookmarkStart w:id="121" w:name="_Toc130312546"/>
      <w:bookmarkStart w:id="122" w:name="_Toc130312678"/>
      <w:r>
        <w:t>4.1.6</w:t>
      </w:r>
      <w:r w:rsidR="004032AF">
        <w:t xml:space="preserve">. </w:t>
      </w:r>
      <w:r>
        <w:t>(Ek:</w:t>
      </w:r>
      <w:r w:rsidRPr="009D307D">
        <w:t xml:space="preserve"> </w:t>
      </w:r>
      <w:r>
        <w:t>04</w:t>
      </w:r>
      <w:r w:rsidRPr="004E78A3">
        <w:t>.</w:t>
      </w:r>
      <w:r>
        <w:t>03.2016</w:t>
      </w:r>
      <w:r w:rsidRPr="004E78A3">
        <w:t xml:space="preserve"> tarih ve </w:t>
      </w:r>
      <w:r>
        <w:t xml:space="preserve">8/257 </w:t>
      </w:r>
      <w:r w:rsidRPr="004E78A3">
        <w:t xml:space="preserve">sayılı </w:t>
      </w:r>
      <w:r>
        <w:t xml:space="preserve">Kurul </w:t>
      </w:r>
      <w:r w:rsidRPr="009D307D">
        <w:t>Kararı</w:t>
      </w:r>
      <w:r>
        <w:t xml:space="preserve"> ile), </w:t>
      </w:r>
      <w:r w:rsidRPr="009168AA">
        <w:t xml:space="preserve">(Değişiklik: </w:t>
      </w:r>
      <w:r w:rsidR="009168AA" w:rsidRPr="009168AA">
        <w:t>23.05.2016 tarih ve 17/573 sayılı Kurul Kararı ile)</w:t>
      </w:r>
      <w:r w:rsidR="008C7AAA">
        <w:t xml:space="preserve">, </w:t>
      </w:r>
      <w:r w:rsidR="00670E6F">
        <w:t xml:space="preserve">(Değişiklik: </w:t>
      </w:r>
      <w:r w:rsidR="00670E6F" w:rsidRPr="00670E6F">
        <w:t>09.05.2017 tarih ve 20/688 sayılı Kurul Kararı ile)</w:t>
      </w:r>
      <w:r w:rsidR="00F137D0">
        <w:t>, (Değişiklik: 20.06.2018 tarih ve 26/740 sayılı Kurul Kararı ile)</w:t>
      </w:r>
      <w:r w:rsidR="009168AA">
        <w:t xml:space="preserve"> </w:t>
      </w:r>
      <w:r>
        <w:t>İlişkili Tarafların İhracına Aracılık Ettiği Özel Sektör Borçlanma Aracının Portföye Dahil Edilmesine İlişkin Esaslar</w:t>
      </w:r>
      <w:bookmarkEnd w:id="121"/>
      <w:bookmarkEnd w:id="122"/>
      <w:r>
        <w:t xml:space="preserve"> </w:t>
      </w:r>
    </w:p>
    <w:p w:rsidR="00670E6F" w:rsidRDefault="00435994" w:rsidP="00435994">
      <w:pPr>
        <w:shd w:val="clear" w:color="auto" w:fill="FFFFFF"/>
        <w:spacing w:after="240" w:line="240" w:lineRule="auto"/>
        <w:ind w:right="-141" w:firstLine="708"/>
        <w:jc w:val="both"/>
        <w:rPr>
          <w:rFonts w:ascii="Times New Roman" w:eastAsia="Times New Roman" w:hAnsi="Times New Roman" w:cs="Times New Roman"/>
          <w:sz w:val="24"/>
          <w:szCs w:val="24"/>
          <w:lang w:eastAsia="tr-TR"/>
        </w:rPr>
      </w:pPr>
      <w:r w:rsidRPr="007B1783">
        <w:rPr>
          <w:rFonts w:ascii="Times New Roman" w:eastAsia="Times New Roman" w:hAnsi="Times New Roman" w:cs="Times New Roman"/>
          <w:sz w:val="24"/>
          <w:szCs w:val="24"/>
          <w:lang w:eastAsia="tr-TR"/>
        </w:rPr>
        <w:t xml:space="preserve">Bir portföy yönetim şirketinin yöneticisi olduğu tüm yatırım fonlarının, </w:t>
      </w:r>
      <w:r w:rsidR="008E4E62">
        <w:rPr>
          <w:rFonts w:ascii="Times New Roman" w:eastAsia="Times New Roman" w:hAnsi="Times New Roman" w:cs="Times New Roman"/>
          <w:sz w:val="24"/>
          <w:szCs w:val="24"/>
          <w:lang w:eastAsia="tr-TR"/>
        </w:rPr>
        <w:t>k</w:t>
      </w:r>
      <w:r w:rsidRPr="007B1783">
        <w:rPr>
          <w:rFonts w:ascii="Times New Roman" w:eastAsia="Times New Roman" w:hAnsi="Times New Roman" w:cs="Times New Roman"/>
          <w:sz w:val="24"/>
          <w:szCs w:val="24"/>
          <w:lang w:eastAsia="tr-TR"/>
        </w:rPr>
        <w:t>urucunun ve/veya yöneticinin Kurulun finansal raporlama standartlarına ilişkin düzenlemeleri kapsamında yer alan grup şirketlerinin ihracına aracılık ettiği özel sektör borçlanma araçlarına yaptığı toplam yatırım, her bir ihraç miktarının %10’unu geçemez. Ayrıca, söz konusu ihraçlardan her bir ihraççı için fon portföylerine dahil edilecek özel sektör borçlanma araçlarının toplam değerinin fon toplam değerine oranı her bir fon için %5’i geçemez.</w:t>
      </w:r>
    </w:p>
    <w:p w:rsidR="00670E6F" w:rsidRPr="00670E6F" w:rsidRDefault="00670E6F" w:rsidP="00670E6F">
      <w:pPr>
        <w:spacing w:after="0" w:line="240" w:lineRule="auto"/>
        <w:ind w:firstLine="720"/>
        <w:jc w:val="both"/>
        <w:rPr>
          <w:rFonts w:ascii="Times New Roman" w:eastAsia="Times New Roman" w:hAnsi="Times New Roman" w:cs="Times New Roman"/>
          <w:sz w:val="24"/>
          <w:szCs w:val="24"/>
          <w:lang w:eastAsia="tr-TR"/>
        </w:rPr>
      </w:pPr>
      <w:r w:rsidRPr="00670E6F">
        <w:rPr>
          <w:rFonts w:ascii="Times New Roman" w:eastAsia="Times New Roman" w:hAnsi="Times New Roman" w:cs="Times New Roman"/>
          <w:sz w:val="24"/>
          <w:szCs w:val="24"/>
          <w:lang w:eastAsia="tr-TR"/>
        </w:rPr>
        <w:t>Öte yandan;</w:t>
      </w:r>
    </w:p>
    <w:p w:rsidR="00670E6F" w:rsidRPr="00670E6F" w:rsidRDefault="00670E6F" w:rsidP="00670E6F">
      <w:pPr>
        <w:spacing w:after="0" w:line="240" w:lineRule="auto"/>
        <w:ind w:firstLine="720"/>
        <w:jc w:val="both"/>
        <w:rPr>
          <w:rFonts w:ascii="Times New Roman" w:eastAsia="Times New Roman" w:hAnsi="Times New Roman" w:cs="Times New Roman"/>
          <w:sz w:val="24"/>
          <w:szCs w:val="24"/>
          <w:lang w:eastAsia="tr-TR"/>
        </w:rPr>
      </w:pPr>
      <w:r w:rsidRPr="00670E6F">
        <w:rPr>
          <w:rFonts w:ascii="Times New Roman" w:eastAsia="Times New Roman" w:hAnsi="Times New Roman" w:cs="Times New Roman"/>
          <w:sz w:val="24"/>
          <w:szCs w:val="24"/>
          <w:lang w:eastAsia="tr-TR"/>
        </w:rPr>
        <w:t>-</w:t>
      </w:r>
      <w:r w:rsidR="00F137D0">
        <w:rPr>
          <w:rFonts w:ascii="Times New Roman" w:eastAsia="Times New Roman" w:hAnsi="Times New Roman" w:cs="Times New Roman"/>
          <w:sz w:val="24"/>
          <w:szCs w:val="24"/>
          <w:lang w:eastAsia="tr-TR"/>
        </w:rPr>
        <w:t xml:space="preserve"> Bankaların ilave ana sermaye hesaplamasına dahil edilecek nitelikteki borçlanma araçları hariç olmak üzere, y</w:t>
      </w:r>
      <w:r w:rsidRPr="00670E6F">
        <w:rPr>
          <w:rFonts w:ascii="Times New Roman" w:eastAsia="Times New Roman" w:hAnsi="Times New Roman" w:cs="Times New Roman"/>
          <w:sz w:val="24"/>
          <w:szCs w:val="24"/>
          <w:lang w:eastAsia="tr-TR"/>
        </w:rPr>
        <w:t>urtiçinde yerleşik bankaların ihraçlarında,</w:t>
      </w:r>
    </w:p>
    <w:p w:rsidR="00670E6F" w:rsidRPr="00670E6F" w:rsidRDefault="00670E6F" w:rsidP="00670E6F">
      <w:pPr>
        <w:spacing w:after="0" w:line="240" w:lineRule="auto"/>
        <w:ind w:firstLine="720"/>
        <w:jc w:val="both"/>
        <w:rPr>
          <w:rFonts w:ascii="Times New Roman" w:eastAsia="Times New Roman" w:hAnsi="Times New Roman" w:cs="Times New Roman"/>
          <w:sz w:val="24"/>
          <w:szCs w:val="24"/>
          <w:lang w:eastAsia="tr-TR"/>
        </w:rPr>
      </w:pPr>
      <w:r w:rsidRPr="00670E6F">
        <w:rPr>
          <w:rFonts w:ascii="Times New Roman" w:eastAsia="Times New Roman" w:hAnsi="Times New Roman" w:cs="Times New Roman"/>
          <w:sz w:val="24"/>
          <w:szCs w:val="24"/>
          <w:lang w:eastAsia="tr-TR"/>
        </w:rPr>
        <w:t>-Yönetim kontrolü</w:t>
      </w:r>
      <w:r w:rsidR="008C7AAA">
        <w:rPr>
          <w:rStyle w:val="FootnoteReference"/>
          <w:rFonts w:ascii="Times New Roman" w:eastAsia="Times New Roman" w:hAnsi="Times New Roman" w:cs="Times New Roman"/>
          <w:sz w:val="24"/>
          <w:szCs w:val="24"/>
          <w:lang w:eastAsia="tr-TR"/>
        </w:rPr>
        <w:footnoteReference w:id="5"/>
      </w:r>
      <w:r w:rsidR="008C7AAA">
        <w:rPr>
          <w:rFonts w:eastAsia="Times New Roman"/>
          <w:lang w:eastAsia="tr-TR"/>
        </w:rPr>
        <w:t xml:space="preserve"> </w:t>
      </w:r>
      <w:r w:rsidRPr="00670E6F">
        <w:rPr>
          <w:rFonts w:ascii="Times New Roman" w:eastAsia="Times New Roman" w:hAnsi="Times New Roman" w:cs="Times New Roman"/>
          <w:sz w:val="24"/>
          <w:szCs w:val="24"/>
          <w:lang w:eastAsia="tr-TR"/>
        </w:rPr>
        <w:t>kamu kurum ve kuruluşlarında olan ihraç</w:t>
      </w:r>
      <w:r w:rsidR="007E124F">
        <w:rPr>
          <w:rFonts w:ascii="Times New Roman" w:eastAsia="Times New Roman" w:hAnsi="Times New Roman" w:cs="Times New Roman"/>
          <w:sz w:val="24"/>
          <w:szCs w:val="24"/>
          <w:lang w:eastAsia="tr-TR"/>
        </w:rPr>
        <w:t>ç</w:t>
      </w:r>
      <w:r w:rsidRPr="00670E6F">
        <w:rPr>
          <w:rFonts w:ascii="Times New Roman" w:eastAsia="Times New Roman" w:hAnsi="Times New Roman" w:cs="Times New Roman"/>
          <w:sz w:val="24"/>
          <w:szCs w:val="24"/>
          <w:lang w:eastAsia="tr-TR"/>
        </w:rPr>
        <w:t>ıların ihraçlarında,</w:t>
      </w:r>
    </w:p>
    <w:p w:rsidR="00670E6F" w:rsidRPr="00670E6F" w:rsidRDefault="00670E6F" w:rsidP="00670E6F">
      <w:pPr>
        <w:spacing w:after="0" w:line="240" w:lineRule="auto"/>
        <w:ind w:firstLine="720"/>
        <w:jc w:val="both"/>
        <w:rPr>
          <w:rFonts w:ascii="Times New Roman" w:eastAsia="Times New Roman" w:hAnsi="Times New Roman" w:cs="Times New Roman"/>
          <w:sz w:val="24"/>
          <w:szCs w:val="24"/>
          <w:lang w:eastAsia="tr-TR"/>
        </w:rPr>
      </w:pPr>
      <w:r w:rsidRPr="00670E6F">
        <w:rPr>
          <w:rFonts w:ascii="Times New Roman" w:eastAsia="Times New Roman" w:hAnsi="Times New Roman" w:cs="Times New Roman"/>
          <w:sz w:val="24"/>
          <w:szCs w:val="24"/>
          <w:lang w:eastAsia="tr-TR"/>
        </w:rPr>
        <w:t xml:space="preserve">- Fon Tebliği’nin 32. maddesinde yer alan esaslar çerçevesinde derecelendirme notu yatırım yapılabilir seviyenin ilk iki kademesinde olan ihraççıların ihraçlarında, </w:t>
      </w:r>
    </w:p>
    <w:p w:rsidR="00670E6F" w:rsidRPr="00670E6F" w:rsidRDefault="00670E6F" w:rsidP="00670E6F">
      <w:pPr>
        <w:spacing w:after="0" w:line="240" w:lineRule="auto"/>
        <w:ind w:firstLine="720"/>
        <w:jc w:val="both"/>
        <w:rPr>
          <w:rFonts w:ascii="Times New Roman" w:eastAsia="Times New Roman" w:hAnsi="Times New Roman" w:cs="Times New Roman"/>
          <w:sz w:val="24"/>
          <w:szCs w:val="24"/>
          <w:lang w:eastAsia="tr-TR"/>
        </w:rPr>
      </w:pPr>
      <w:r w:rsidRPr="00670E6F">
        <w:rPr>
          <w:rFonts w:ascii="Times New Roman" w:eastAsia="Times New Roman" w:hAnsi="Times New Roman" w:cs="Times New Roman"/>
          <w:sz w:val="24"/>
          <w:szCs w:val="24"/>
          <w:lang w:eastAsia="tr-TR"/>
        </w:rPr>
        <w:t xml:space="preserve">- Özel sektör borçlanma araçlarının ihracına aracılık eden grup şirketleri tarafından, anapara ve/veya kupon ödemesinde temerrüde düşülmesi durumunda, söz konusu araçlara ilişkin olarak bu maddede yer alan sınırlamaları aşan kısım için geri alım taahhüdü verilmesi halinde </w:t>
      </w:r>
    </w:p>
    <w:p w:rsidR="00670E6F" w:rsidRPr="00670E6F" w:rsidRDefault="00670E6F" w:rsidP="00670E6F">
      <w:pPr>
        <w:spacing w:after="0" w:line="240" w:lineRule="auto"/>
        <w:ind w:firstLine="720"/>
        <w:jc w:val="both"/>
        <w:rPr>
          <w:rFonts w:ascii="Times New Roman" w:eastAsia="Times New Roman" w:hAnsi="Times New Roman" w:cs="Times New Roman"/>
          <w:sz w:val="24"/>
          <w:szCs w:val="24"/>
          <w:lang w:eastAsia="tr-TR"/>
        </w:rPr>
      </w:pPr>
      <w:r w:rsidRPr="00670E6F">
        <w:rPr>
          <w:rFonts w:ascii="Times New Roman" w:eastAsia="Times New Roman" w:hAnsi="Times New Roman" w:cs="Times New Roman"/>
          <w:sz w:val="24"/>
          <w:szCs w:val="24"/>
          <w:lang w:eastAsia="tr-TR"/>
        </w:rPr>
        <w:t xml:space="preserve">birinci fıkradaki sınırlamalar uygulanmaz. </w:t>
      </w:r>
    </w:p>
    <w:p w:rsidR="00435994" w:rsidRDefault="00670E6F" w:rsidP="00670E6F">
      <w:pPr>
        <w:shd w:val="clear" w:color="auto" w:fill="FFFFFF"/>
        <w:spacing w:after="240" w:line="240" w:lineRule="auto"/>
        <w:ind w:right="-141" w:firstLine="708"/>
        <w:jc w:val="both"/>
        <w:rPr>
          <w:rFonts w:ascii="Times New Roman" w:eastAsia="Times New Roman" w:hAnsi="Times New Roman" w:cs="Times New Roman"/>
          <w:sz w:val="24"/>
          <w:szCs w:val="24"/>
          <w:lang w:eastAsia="tr-TR"/>
        </w:rPr>
      </w:pPr>
      <w:r w:rsidRPr="00670E6F">
        <w:rPr>
          <w:rFonts w:ascii="Times New Roman" w:eastAsia="Times New Roman" w:hAnsi="Times New Roman" w:cs="Times New Roman"/>
          <w:sz w:val="24"/>
          <w:szCs w:val="24"/>
          <w:lang w:eastAsia="tr-TR"/>
        </w:rPr>
        <w:t>İkinci fıkra çerçevesinde taahhüt verilmesi halinde</w:t>
      </w:r>
      <w:r>
        <w:rPr>
          <w:rFonts w:ascii="Times New Roman" w:eastAsia="Times New Roman" w:hAnsi="Times New Roman" w:cs="Times New Roman"/>
          <w:sz w:val="24"/>
          <w:szCs w:val="24"/>
          <w:lang w:eastAsia="tr-TR"/>
        </w:rPr>
        <w:t xml:space="preserve"> </w:t>
      </w:r>
      <w:r w:rsidR="00435994" w:rsidRPr="007B1783">
        <w:rPr>
          <w:rFonts w:ascii="Times New Roman" w:eastAsia="Times New Roman" w:hAnsi="Times New Roman" w:cs="Times New Roman"/>
          <w:sz w:val="24"/>
          <w:szCs w:val="24"/>
          <w:lang w:eastAsia="tr-TR"/>
        </w:rPr>
        <w:t>yapılacak geri alımda; özel sektör borçlanma aracının borsada en son işlem gördüğü günkü faiz oranı ile özel sektör borçlanma aracının ihraç anındaki faiz oranından düşük olanı esas alınarak geri alım fiyatı hesaplanır.</w:t>
      </w:r>
    </w:p>
    <w:p w:rsidR="00435994" w:rsidRDefault="00435994" w:rsidP="00435994">
      <w:pPr>
        <w:shd w:val="clear" w:color="auto" w:fill="FFFFFF"/>
        <w:spacing w:after="240" w:line="240" w:lineRule="auto"/>
        <w:ind w:right="-141" w:firstLine="708"/>
        <w:jc w:val="both"/>
        <w:rPr>
          <w:rFonts w:ascii="Times New Roman" w:eastAsia="Times New Roman" w:hAnsi="Times New Roman" w:cs="Times New Roman"/>
          <w:sz w:val="24"/>
          <w:szCs w:val="24"/>
          <w:lang w:eastAsia="tr-TR"/>
        </w:rPr>
      </w:pPr>
      <w:r w:rsidRPr="007B1783">
        <w:rPr>
          <w:rFonts w:ascii="Times New Roman" w:eastAsia="Times New Roman" w:hAnsi="Times New Roman" w:cs="Times New Roman"/>
          <w:sz w:val="24"/>
          <w:szCs w:val="24"/>
          <w:lang w:eastAsia="tr-TR"/>
        </w:rPr>
        <w:t>Fon Tebliği’nde yer alan sınırlamalar saklıdır.</w:t>
      </w:r>
    </w:p>
    <w:p w:rsidR="00F250BE" w:rsidRDefault="00F250BE" w:rsidP="00435994">
      <w:pPr>
        <w:shd w:val="clear" w:color="auto" w:fill="FFFFFF"/>
        <w:spacing w:after="240" w:line="240" w:lineRule="auto"/>
        <w:ind w:right="-141" w:firstLine="708"/>
        <w:jc w:val="both"/>
        <w:rPr>
          <w:rFonts w:ascii="Times New Roman" w:eastAsia="Times New Roman" w:hAnsi="Times New Roman" w:cs="Times New Roman"/>
          <w:sz w:val="24"/>
          <w:szCs w:val="24"/>
          <w:lang w:eastAsia="tr-TR"/>
        </w:rPr>
      </w:pPr>
    </w:p>
    <w:p w:rsidR="00F250BE" w:rsidRDefault="00F250BE" w:rsidP="00F250BE">
      <w:pPr>
        <w:pStyle w:val="Heading3"/>
        <w:spacing w:after="240"/>
        <w:jc w:val="both"/>
      </w:pPr>
      <w:bookmarkStart w:id="123" w:name="_Toc130312547"/>
      <w:bookmarkStart w:id="124" w:name="_Toc130312679"/>
      <w:r>
        <w:t>4.1.7. (Ek:</w:t>
      </w:r>
      <w:r w:rsidRPr="009D307D">
        <w:t xml:space="preserve"> </w:t>
      </w:r>
      <w:r w:rsidRPr="00F250BE">
        <w:t>01.03.2018 tarih ve 9/316 sayılı Kurul Kararı ile</w:t>
      </w:r>
      <w:r>
        <w:t>)</w:t>
      </w:r>
      <w:r w:rsidR="00827378">
        <w:t xml:space="preserve"> </w:t>
      </w:r>
      <w:r w:rsidR="00827378" w:rsidRPr="00827378">
        <w:t>Varlığa/İpoteğe Dayalı Menkul Kıymetlere İlişkin Sınırlamalar</w:t>
      </w:r>
      <w:bookmarkEnd w:id="123"/>
      <w:bookmarkEnd w:id="124"/>
    </w:p>
    <w:p w:rsidR="00F250BE" w:rsidRDefault="00D34345" w:rsidP="00F250BE">
      <w:pPr>
        <w:shd w:val="clear" w:color="auto" w:fill="FFFFFF"/>
        <w:spacing w:after="240" w:line="240" w:lineRule="auto"/>
        <w:ind w:right="-141"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 </w:t>
      </w:r>
      <w:r w:rsidR="00F250BE" w:rsidRPr="00F250BE">
        <w:rPr>
          <w:rFonts w:ascii="Times New Roman" w:eastAsia="Times New Roman" w:hAnsi="Times New Roman" w:cs="Times New Roman"/>
          <w:sz w:val="24"/>
          <w:szCs w:val="24"/>
          <w:lang w:eastAsia="tr-TR"/>
        </w:rPr>
        <w:t>Fonlar tarafından varlığa/ipoteğe dayalı menkul kıymetlere yatırım yapılması halinde Fon Tebliği’nin 17’nci maddesinin bir</w:t>
      </w:r>
      <w:r w:rsidR="00F7126C">
        <w:rPr>
          <w:rFonts w:ascii="Times New Roman" w:eastAsia="Times New Roman" w:hAnsi="Times New Roman" w:cs="Times New Roman"/>
          <w:sz w:val="24"/>
          <w:szCs w:val="24"/>
          <w:lang w:eastAsia="tr-TR"/>
        </w:rPr>
        <w:t>inci fıkrasının (a) ve (b) bentleri</w:t>
      </w:r>
      <w:r w:rsidR="00F250BE" w:rsidRPr="00F250BE">
        <w:rPr>
          <w:rFonts w:ascii="Times New Roman" w:eastAsia="Times New Roman" w:hAnsi="Times New Roman" w:cs="Times New Roman"/>
          <w:sz w:val="24"/>
          <w:szCs w:val="24"/>
          <w:lang w:eastAsia="tr-TR"/>
        </w:rPr>
        <w:t xml:space="preserve"> uyarınca yapılacak kontrollerde, her bir varlık finansmanı fonu/konut finansmanı fonu ihraççı olarak ayrı ayrı dikkate alınır. Söz konusu menkul kıymetlere yapılan yatırımlar Fon Tebliği’nin 17’nci maddesinin birinci fıkrasının (c) bendi uyarınca yapılacak kontrolde dikkate alınmaz.</w:t>
      </w:r>
    </w:p>
    <w:p w:rsidR="00D34345" w:rsidRDefault="00D34345" w:rsidP="00F250BE">
      <w:pPr>
        <w:shd w:val="clear" w:color="auto" w:fill="FFFFFF"/>
        <w:spacing w:after="240" w:line="240" w:lineRule="auto"/>
        <w:ind w:right="-141"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ii)</w:t>
      </w:r>
      <w:r w:rsidRPr="00D34345">
        <w:rPr>
          <w:rFonts w:ascii="Times New Roman" w:eastAsia="Times New Roman" w:hAnsi="Times New Roman" w:cs="Times New Roman"/>
          <w:sz w:val="24"/>
          <w:szCs w:val="24"/>
          <w:lang w:eastAsia="tr-TR"/>
        </w:rPr>
        <w:t xml:space="preserve"> </w:t>
      </w:r>
      <w:r w:rsidR="00A304C7">
        <w:rPr>
          <w:rFonts w:ascii="Times New Roman" w:eastAsiaTheme="majorEastAsia" w:hAnsi="Times New Roman" w:cstheme="majorBidi"/>
          <w:b/>
          <w:sz w:val="24"/>
          <w:szCs w:val="26"/>
        </w:rPr>
        <w:t>(Ek bent: 23.09.2021</w:t>
      </w:r>
      <w:r w:rsidR="00A304C7" w:rsidRPr="005F5E0A">
        <w:rPr>
          <w:rFonts w:ascii="Times New Roman" w:eastAsiaTheme="majorEastAsia" w:hAnsi="Times New Roman" w:cstheme="majorBidi"/>
          <w:b/>
          <w:sz w:val="24"/>
          <w:szCs w:val="26"/>
        </w:rPr>
        <w:t xml:space="preserve"> tarih ve </w:t>
      </w:r>
      <w:r w:rsidR="00A304C7">
        <w:rPr>
          <w:rFonts w:ascii="Times New Roman" w:eastAsiaTheme="majorEastAsia" w:hAnsi="Times New Roman" w:cstheme="majorBidi"/>
          <w:b/>
          <w:sz w:val="24"/>
          <w:szCs w:val="26"/>
        </w:rPr>
        <w:t>49/1424</w:t>
      </w:r>
      <w:r w:rsidR="00A304C7" w:rsidRPr="005F5E0A">
        <w:rPr>
          <w:rFonts w:ascii="Times New Roman" w:eastAsiaTheme="majorEastAsia" w:hAnsi="Times New Roman" w:cstheme="majorBidi"/>
          <w:b/>
          <w:sz w:val="24"/>
          <w:szCs w:val="26"/>
        </w:rPr>
        <w:t xml:space="preserve"> sayılı Kurul Kararı ile)</w:t>
      </w:r>
      <w:r w:rsidR="00A304C7">
        <w:rPr>
          <w:rFonts w:ascii="Times New Roman" w:eastAsiaTheme="majorEastAsia" w:hAnsi="Times New Roman" w:cstheme="majorBidi"/>
          <w:b/>
          <w:sz w:val="24"/>
          <w:szCs w:val="26"/>
        </w:rPr>
        <w:t xml:space="preserve"> </w:t>
      </w:r>
      <w:r w:rsidRPr="00D34345">
        <w:rPr>
          <w:rFonts w:ascii="Times New Roman" w:eastAsia="Times New Roman" w:hAnsi="Times New Roman" w:cs="Times New Roman"/>
          <w:sz w:val="24"/>
          <w:szCs w:val="24"/>
          <w:lang w:eastAsia="tr-TR"/>
        </w:rPr>
        <w:t>III-58.1 sayılı Varlığa veya İpoteğe Dayalı Menkul Kıymetler Tebliği kapsamında varlık yönetim şirketlerinin kaynak kuruluş olduğu varlığa dayalı menkul kıymetler fon portföylerine dahil edilemez</w:t>
      </w:r>
      <w:r>
        <w:rPr>
          <w:rFonts w:ascii="Times New Roman" w:eastAsia="Times New Roman" w:hAnsi="Times New Roman" w:cs="Times New Roman"/>
          <w:sz w:val="24"/>
          <w:szCs w:val="24"/>
          <w:lang w:eastAsia="tr-TR"/>
        </w:rPr>
        <w:t>.</w:t>
      </w:r>
    </w:p>
    <w:p w:rsidR="00C42BAA" w:rsidRDefault="00C42BAA" w:rsidP="004C6EB2">
      <w:pPr>
        <w:pStyle w:val="Heading3"/>
        <w:jc w:val="both"/>
      </w:pPr>
      <w:bookmarkStart w:id="125" w:name="_Toc130312548"/>
      <w:bookmarkStart w:id="126" w:name="_Toc130312680"/>
      <w:r>
        <w:t>4.1.8. (Ek:</w:t>
      </w:r>
      <w:r w:rsidRPr="009D307D">
        <w:t xml:space="preserve"> </w:t>
      </w:r>
      <w:r>
        <w:t>20.06.2018</w:t>
      </w:r>
      <w:r w:rsidRPr="00F250BE">
        <w:t xml:space="preserve"> tarih ve </w:t>
      </w:r>
      <w:r>
        <w:t>26/740</w:t>
      </w:r>
      <w:r w:rsidRPr="00F250BE">
        <w:t xml:space="preserve"> sayılı Kurul Kararı ile</w:t>
      </w:r>
      <w:r>
        <w:t>) Bankaların İlave Ana Sermaye Hesaplamasına Dahil Edilecek Borçlanma Araçları</w:t>
      </w:r>
      <w:bookmarkEnd w:id="125"/>
      <w:bookmarkEnd w:id="126"/>
    </w:p>
    <w:p w:rsidR="004C6EB2" w:rsidRPr="004C6EB2" w:rsidRDefault="004C6EB2" w:rsidP="004C6EB2"/>
    <w:p w:rsidR="00C42BAA" w:rsidRDefault="00C42BAA" w:rsidP="004C6EB2">
      <w:pPr>
        <w:pStyle w:val="ListParagraph"/>
        <w:numPr>
          <w:ilvl w:val="0"/>
          <w:numId w:val="77"/>
        </w:numPr>
        <w:ind w:left="714" w:hanging="357"/>
        <w:jc w:val="both"/>
        <w:rPr>
          <w:rFonts w:ascii="Times New Roman" w:hAnsi="Times New Roman" w:cs="Times New Roman"/>
          <w:sz w:val="24"/>
          <w:szCs w:val="24"/>
        </w:rPr>
      </w:pPr>
      <w:r w:rsidRPr="00C42BAA">
        <w:rPr>
          <w:rFonts w:ascii="Times New Roman" w:hAnsi="Times New Roman" w:cs="Times New Roman"/>
          <w:sz w:val="24"/>
          <w:szCs w:val="24"/>
        </w:rPr>
        <w:t xml:space="preserve">Bankacılık Düzenleme ve Denetleme Kurumu düzenlemeleri kapsamında ilave ana sermaye niteliği taşıyan sermaye benzeri borçlanma araçları; </w:t>
      </w:r>
    </w:p>
    <w:p w:rsidR="00F23D42" w:rsidRDefault="00F23D42" w:rsidP="00F23D42">
      <w:pPr>
        <w:pStyle w:val="ListParagraph"/>
        <w:ind w:left="714"/>
        <w:jc w:val="both"/>
        <w:rPr>
          <w:rFonts w:ascii="Times New Roman" w:hAnsi="Times New Roman" w:cs="Times New Roman"/>
          <w:sz w:val="24"/>
          <w:szCs w:val="24"/>
        </w:rPr>
      </w:pPr>
    </w:p>
    <w:p w:rsidR="00C42BAA" w:rsidRDefault="00C42BAA" w:rsidP="004C6EB2">
      <w:pPr>
        <w:pStyle w:val="ListParagraph"/>
        <w:numPr>
          <w:ilvl w:val="0"/>
          <w:numId w:val="80"/>
        </w:numPr>
        <w:ind w:left="1418" w:hanging="284"/>
        <w:jc w:val="both"/>
        <w:rPr>
          <w:rFonts w:ascii="Times New Roman" w:hAnsi="Times New Roman" w:cs="Times New Roman"/>
          <w:sz w:val="24"/>
          <w:szCs w:val="24"/>
        </w:rPr>
      </w:pPr>
      <w:r w:rsidRPr="004C6EB2">
        <w:rPr>
          <w:rFonts w:ascii="Times New Roman" w:eastAsia="Times New Roman" w:hAnsi="Times New Roman" w:cs="Times New Roman"/>
          <w:sz w:val="24"/>
          <w:szCs w:val="24"/>
          <w:lang w:eastAsia="tr-TR"/>
        </w:rPr>
        <w:t>Borsada işlem görmesi kaydıyla, fon toplam değerinin en fazla %10’u, tek bir ihraççı bazında ise en fazla %5’i oranında fon portföylerine dahil edilebilir. Borçlanma araçlarına ve yoğunlaşma sınırlamalarına ilişkin olarak Fon Tebliği’nde ve bu Rehber’de yer alan diğer esaslar saklıdır.</w:t>
      </w:r>
      <w:r w:rsidRPr="004C6EB2">
        <w:rPr>
          <w:rFonts w:ascii="Times New Roman" w:hAnsi="Times New Roman" w:cs="Times New Roman"/>
          <w:sz w:val="24"/>
          <w:szCs w:val="24"/>
        </w:rPr>
        <w:t xml:space="preserve"> </w:t>
      </w:r>
    </w:p>
    <w:p w:rsidR="00F23D42" w:rsidRPr="004C6EB2" w:rsidRDefault="00F23D42" w:rsidP="00F23D42">
      <w:pPr>
        <w:pStyle w:val="ListParagraph"/>
        <w:ind w:left="1418"/>
        <w:jc w:val="both"/>
        <w:rPr>
          <w:rFonts w:ascii="Times New Roman" w:hAnsi="Times New Roman" w:cs="Times New Roman"/>
          <w:sz w:val="24"/>
          <w:szCs w:val="24"/>
        </w:rPr>
      </w:pPr>
    </w:p>
    <w:p w:rsidR="00F23D42" w:rsidRDefault="00C42BAA" w:rsidP="00F23D42">
      <w:pPr>
        <w:pStyle w:val="ListParagraph"/>
        <w:numPr>
          <w:ilvl w:val="0"/>
          <w:numId w:val="80"/>
        </w:numPr>
        <w:ind w:left="1418" w:hanging="284"/>
        <w:jc w:val="both"/>
        <w:rPr>
          <w:rFonts w:ascii="Times New Roman" w:eastAsia="Times New Roman" w:hAnsi="Times New Roman" w:cs="Times New Roman"/>
          <w:sz w:val="24"/>
          <w:szCs w:val="24"/>
          <w:lang w:eastAsia="tr-TR"/>
        </w:rPr>
      </w:pPr>
      <w:r w:rsidRPr="004C6EB2">
        <w:rPr>
          <w:rFonts w:ascii="Times New Roman" w:eastAsia="Times New Roman" w:hAnsi="Times New Roman" w:cs="Times New Roman"/>
          <w:sz w:val="24"/>
          <w:szCs w:val="24"/>
          <w:lang w:eastAsia="tr-TR"/>
        </w:rPr>
        <w:t xml:space="preserve">Orta/uzun vadeli borçlanma araçları fonları tarafından vadeye kalan gün sayısı hesaplanmayan varlıklar kapsamında fon portföylerine dahil edilebilir. </w:t>
      </w:r>
    </w:p>
    <w:p w:rsidR="00F23D42" w:rsidRPr="00F23D42" w:rsidRDefault="00F23D42" w:rsidP="00F23D42">
      <w:pPr>
        <w:pStyle w:val="ListParagraph"/>
        <w:ind w:left="1418"/>
        <w:jc w:val="both"/>
        <w:rPr>
          <w:rFonts w:ascii="Times New Roman" w:eastAsia="Times New Roman" w:hAnsi="Times New Roman" w:cs="Times New Roman"/>
          <w:sz w:val="24"/>
          <w:szCs w:val="24"/>
          <w:lang w:eastAsia="tr-TR"/>
        </w:rPr>
      </w:pPr>
    </w:p>
    <w:p w:rsidR="00C42BAA" w:rsidRDefault="004C6EB2" w:rsidP="004C6EB2">
      <w:pPr>
        <w:pStyle w:val="ListParagraph"/>
        <w:numPr>
          <w:ilvl w:val="0"/>
          <w:numId w:val="80"/>
        </w:numPr>
        <w:ind w:left="1418" w:hanging="284"/>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C42BAA" w:rsidRPr="004C6EB2">
        <w:rPr>
          <w:rFonts w:ascii="Times New Roman" w:eastAsia="Times New Roman" w:hAnsi="Times New Roman" w:cs="Times New Roman"/>
          <w:sz w:val="24"/>
          <w:szCs w:val="24"/>
          <w:lang w:eastAsia="tr-TR"/>
        </w:rPr>
        <w:t xml:space="preserve">Para piyasası fonları ve kısa vadeli borçlanma araçları fonları ile ihraççının Kurul’un finansal raporlama standartlarına ilişkin düzenlemeleri kapsamında yer alan grup şirketlerinin yöneticisi olduğu yatırım fonlarının portföylerine dahil edilemez. </w:t>
      </w:r>
    </w:p>
    <w:p w:rsidR="00F23D42" w:rsidRPr="004C6EB2" w:rsidRDefault="00F23D42" w:rsidP="00F23D42">
      <w:pPr>
        <w:pStyle w:val="ListParagraph"/>
        <w:ind w:left="1418"/>
        <w:jc w:val="both"/>
        <w:rPr>
          <w:rFonts w:ascii="Times New Roman" w:eastAsia="Times New Roman" w:hAnsi="Times New Roman" w:cs="Times New Roman"/>
          <w:sz w:val="24"/>
          <w:szCs w:val="24"/>
          <w:lang w:eastAsia="tr-TR"/>
        </w:rPr>
      </w:pPr>
    </w:p>
    <w:p w:rsidR="00C42BAA" w:rsidRDefault="00C42BAA" w:rsidP="004C6EB2">
      <w:pPr>
        <w:pStyle w:val="ListParagraph"/>
        <w:numPr>
          <w:ilvl w:val="0"/>
          <w:numId w:val="77"/>
        </w:numPr>
        <w:ind w:left="714" w:hanging="357"/>
        <w:jc w:val="both"/>
        <w:rPr>
          <w:rFonts w:ascii="Times New Roman" w:hAnsi="Times New Roman" w:cs="Times New Roman"/>
          <w:sz w:val="24"/>
          <w:szCs w:val="24"/>
        </w:rPr>
      </w:pPr>
      <w:r w:rsidRPr="00C42BAA">
        <w:rPr>
          <w:rFonts w:ascii="Times New Roman" w:hAnsi="Times New Roman" w:cs="Times New Roman"/>
          <w:sz w:val="24"/>
          <w:szCs w:val="24"/>
        </w:rPr>
        <w:t xml:space="preserve">Bu tür borçlanma araçlarının fon portföyüne dahil edilmesinden önce anılan araca özgü riskler ve söz konusu borçlanma araçları ile ilgili tüm alım-satım işlem bilgileri en geç işlemlerin yapılmasını takip eden ilk iş günü fonun KAP sayfasında açıklanır. Söz konusu risklerin eksiksiz ve doğru şekilde açıklanması Kurucu’nun sorumluluğundadır. </w:t>
      </w:r>
    </w:p>
    <w:p w:rsidR="00F23D42" w:rsidRDefault="00F23D42" w:rsidP="00F23D42">
      <w:pPr>
        <w:pStyle w:val="ListParagraph"/>
        <w:ind w:left="714"/>
        <w:jc w:val="both"/>
        <w:rPr>
          <w:rFonts w:ascii="Times New Roman" w:hAnsi="Times New Roman" w:cs="Times New Roman"/>
          <w:sz w:val="24"/>
          <w:szCs w:val="24"/>
        </w:rPr>
      </w:pPr>
    </w:p>
    <w:p w:rsidR="00C42BAA" w:rsidRPr="00C42BAA" w:rsidRDefault="00C42BAA" w:rsidP="004C6EB2">
      <w:pPr>
        <w:pStyle w:val="ListParagraph"/>
        <w:numPr>
          <w:ilvl w:val="0"/>
          <w:numId w:val="77"/>
        </w:numPr>
        <w:ind w:left="714" w:hanging="357"/>
        <w:jc w:val="both"/>
        <w:rPr>
          <w:rFonts w:ascii="Times New Roman" w:hAnsi="Times New Roman" w:cs="Times New Roman"/>
          <w:sz w:val="24"/>
          <w:szCs w:val="24"/>
        </w:rPr>
      </w:pPr>
      <w:r w:rsidRPr="00C42BAA">
        <w:rPr>
          <w:rFonts w:ascii="Times New Roman" w:hAnsi="Times New Roman" w:cs="Times New Roman"/>
          <w:sz w:val="24"/>
          <w:szCs w:val="24"/>
        </w:rPr>
        <w:t>Bu maddede belirtilen hükümler serbest yatırım fonları için de uygulanır.</w:t>
      </w:r>
    </w:p>
    <w:p w:rsidR="003A27E7" w:rsidRPr="003A27E7" w:rsidRDefault="003A27E7" w:rsidP="00727BFF">
      <w:pPr>
        <w:pStyle w:val="Heading3"/>
        <w:spacing w:after="240"/>
        <w:rPr>
          <w:rFonts w:eastAsia="Times New Roman"/>
          <w:lang w:eastAsia="tr-TR"/>
        </w:rPr>
      </w:pPr>
      <w:bookmarkStart w:id="127" w:name="_Toc130312549"/>
      <w:bookmarkStart w:id="128" w:name="_Toc130312681"/>
      <w:r w:rsidRPr="003A27E7">
        <w:rPr>
          <w:rFonts w:eastAsia="Times New Roman"/>
          <w:lang w:eastAsia="tr-TR"/>
        </w:rPr>
        <w:t>4.1.9.</w:t>
      </w:r>
      <w:r>
        <w:rPr>
          <w:rFonts w:eastAsia="Times New Roman"/>
          <w:lang w:eastAsia="tr-TR"/>
        </w:rPr>
        <w:t xml:space="preserve"> </w:t>
      </w:r>
      <w:r w:rsidRPr="003A27E7">
        <w:rPr>
          <w:rFonts w:eastAsia="Times New Roman"/>
          <w:lang w:eastAsia="tr-TR"/>
        </w:rPr>
        <w:t xml:space="preserve">(Ek: </w:t>
      </w:r>
      <w:r>
        <w:rPr>
          <w:rFonts w:eastAsia="Times New Roman"/>
          <w:lang w:eastAsia="tr-TR"/>
        </w:rPr>
        <w:t>29.09.2022</w:t>
      </w:r>
      <w:r w:rsidRPr="003A27E7">
        <w:rPr>
          <w:rFonts w:eastAsia="Times New Roman"/>
          <w:lang w:eastAsia="tr-TR"/>
        </w:rPr>
        <w:t xml:space="preserve"> tarih ve </w:t>
      </w:r>
      <w:r>
        <w:rPr>
          <w:rFonts w:eastAsia="Times New Roman"/>
          <w:lang w:eastAsia="tr-TR"/>
        </w:rPr>
        <w:t xml:space="preserve">54/1446 </w:t>
      </w:r>
      <w:r w:rsidRPr="003A27E7">
        <w:rPr>
          <w:rFonts w:eastAsia="Times New Roman"/>
          <w:lang w:eastAsia="tr-TR"/>
        </w:rPr>
        <w:t>sayılı Kurul Kararı ile</w:t>
      </w:r>
      <w:r>
        <w:rPr>
          <w:rFonts w:eastAsia="Times New Roman"/>
          <w:lang w:eastAsia="tr-TR"/>
        </w:rPr>
        <w:t>)</w:t>
      </w:r>
      <w:r w:rsidRPr="003A27E7">
        <w:rPr>
          <w:rFonts w:eastAsia="Times New Roman"/>
          <w:lang w:eastAsia="tr-TR"/>
        </w:rPr>
        <w:t xml:space="preserve"> Gelire Endeksli Senetlerin Fon Portföyüne Dahil Edilmesine İlişkin Esaslar</w:t>
      </w:r>
      <w:bookmarkEnd w:id="127"/>
      <w:bookmarkEnd w:id="128"/>
    </w:p>
    <w:p w:rsidR="00176F86" w:rsidRDefault="003A27E7" w:rsidP="003A27E7">
      <w:pPr>
        <w:shd w:val="clear" w:color="auto" w:fill="FFFFFF"/>
        <w:spacing w:after="0"/>
        <w:ind w:right="-142" w:firstLine="708"/>
        <w:jc w:val="both"/>
        <w:rPr>
          <w:rFonts w:ascii="Times New Roman" w:eastAsia="Times New Roman" w:hAnsi="Times New Roman" w:cs="Times New Roman"/>
          <w:sz w:val="24"/>
          <w:szCs w:val="24"/>
          <w:lang w:eastAsia="tr-TR"/>
        </w:rPr>
      </w:pPr>
      <w:r w:rsidRPr="003A27E7">
        <w:rPr>
          <w:rFonts w:ascii="Times New Roman" w:eastAsia="Times New Roman" w:hAnsi="Times New Roman" w:cs="Times New Roman"/>
          <w:sz w:val="24"/>
          <w:szCs w:val="24"/>
          <w:lang w:eastAsia="tr-TR"/>
        </w:rPr>
        <w:t>Fon portföyüne dahil edilen T.C. Hazine ve Maliye Bakanlığı tarafından ihraç edilen gelire endeksli senetler için Fon Tebliği’nin 19. maddesinin birinci fıkrasının (a) bendinde yer alan şartlar aranmaz.</w:t>
      </w:r>
    </w:p>
    <w:p w:rsidR="00113839" w:rsidRDefault="00113839" w:rsidP="003A27E7">
      <w:pPr>
        <w:shd w:val="clear" w:color="auto" w:fill="FFFFFF"/>
        <w:spacing w:after="0"/>
        <w:ind w:right="-142" w:firstLine="708"/>
        <w:jc w:val="both"/>
        <w:rPr>
          <w:rFonts w:ascii="Times New Roman" w:eastAsia="Times New Roman" w:hAnsi="Times New Roman" w:cs="Times New Roman"/>
          <w:sz w:val="24"/>
          <w:szCs w:val="24"/>
          <w:lang w:eastAsia="tr-TR"/>
        </w:rPr>
      </w:pPr>
    </w:p>
    <w:p w:rsidR="00113839" w:rsidRPr="00113839" w:rsidRDefault="00113839" w:rsidP="00BB1D63">
      <w:pPr>
        <w:pStyle w:val="Heading2"/>
        <w:jc w:val="both"/>
        <w:rPr>
          <w:rFonts w:eastAsia="Times New Roman"/>
          <w:lang w:eastAsia="tr-TR"/>
        </w:rPr>
      </w:pPr>
      <w:bookmarkStart w:id="129" w:name="_Toc130312682"/>
      <w:r w:rsidRPr="00113839">
        <w:rPr>
          <w:rFonts w:eastAsia="Times New Roman"/>
          <w:lang w:eastAsia="tr-TR"/>
        </w:rPr>
        <w:t xml:space="preserve">4.1.10. (Ek: 21.03.2023 tarih ve </w:t>
      </w:r>
      <w:r w:rsidR="0090530D" w:rsidRPr="0090530D">
        <w:rPr>
          <w:rFonts w:eastAsia="Times New Roman"/>
          <w:lang w:eastAsia="tr-TR"/>
        </w:rPr>
        <w:t>17/366</w:t>
      </w:r>
      <w:r w:rsidRPr="00113839">
        <w:rPr>
          <w:rFonts w:eastAsia="Times New Roman"/>
          <w:lang w:eastAsia="tr-TR"/>
        </w:rPr>
        <w:t xml:space="preserve"> sayılı Kurul Kararı ile) Darphane Sertifikasına İlişkin Esaslar</w:t>
      </w:r>
      <w:bookmarkEnd w:id="129"/>
    </w:p>
    <w:p w:rsidR="00113839" w:rsidRPr="00113839" w:rsidRDefault="00113839" w:rsidP="00BB1D63">
      <w:pPr>
        <w:shd w:val="clear" w:color="auto" w:fill="FFFFFF"/>
        <w:spacing w:after="0"/>
        <w:ind w:right="-142" w:firstLine="708"/>
        <w:jc w:val="both"/>
        <w:rPr>
          <w:rFonts w:ascii="Times New Roman" w:eastAsia="Times New Roman" w:hAnsi="Times New Roman" w:cs="Times New Roman"/>
          <w:sz w:val="24"/>
          <w:szCs w:val="24"/>
          <w:lang w:eastAsia="tr-TR"/>
        </w:rPr>
      </w:pPr>
    </w:p>
    <w:p w:rsidR="00113839" w:rsidRPr="00113839" w:rsidRDefault="00113839" w:rsidP="00BB1D63">
      <w:pPr>
        <w:shd w:val="clear" w:color="auto" w:fill="FFFFFF"/>
        <w:spacing w:after="0"/>
        <w:ind w:right="-142" w:firstLine="708"/>
        <w:jc w:val="both"/>
        <w:rPr>
          <w:rFonts w:ascii="Times New Roman" w:eastAsia="Times New Roman" w:hAnsi="Times New Roman" w:cs="Times New Roman"/>
          <w:sz w:val="24"/>
          <w:szCs w:val="24"/>
          <w:lang w:eastAsia="tr-TR"/>
        </w:rPr>
      </w:pPr>
      <w:r w:rsidRPr="00113839">
        <w:rPr>
          <w:rFonts w:ascii="Times New Roman" w:hAnsi="Times New Roman" w:cs="Times New Roman"/>
          <w:sz w:val="24"/>
          <w:szCs w:val="24"/>
        </w:rPr>
        <w:t>Darphane sertifikaları altına dayalı sermaye piyasası aracı niteliğinde olup, Fon Tebliği’nin 17/1/d bendinde yer alan ihraç bazındaki %35 sınırlaması uygulanmaksızın yatırım fonları tarafından darphane sertifikasına altına dayalı sermaye piyasası araçları için fon bilgilendirme dokümanlarında belirlenen yatırım sınırlamaları dahilinde yatırım yapılabilir.</w:t>
      </w:r>
    </w:p>
    <w:p w:rsidR="003A27E7" w:rsidRDefault="003A27E7" w:rsidP="003A27E7">
      <w:pPr>
        <w:shd w:val="clear" w:color="auto" w:fill="FFFFFF"/>
        <w:spacing w:after="0"/>
        <w:ind w:right="-142" w:firstLine="708"/>
        <w:jc w:val="both"/>
        <w:rPr>
          <w:rFonts w:ascii="Times New Roman" w:eastAsia="Times New Roman" w:hAnsi="Times New Roman" w:cs="Times New Roman"/>
          <w:sz w:val="24"/>
          <w:szCs w:val="24"/>
          <w:lang w:eastAsia="tr-TR"/>
        </w:rPr>
      </w:pPr>
    </w:p>
    <w:p w:rsidR="00D330E8" w:rsidRDefault="009129F5" w:rsidP="00CE5BAA">
      <w:pPr>
        <w:pStyle w:val="Heading2"/>
      </w:pPr>
      <w:bookmarkStart w:id="130" w:name="_Toc130312550"/>
      <w:bookmarkStart w:id="131" w:name="_Toc130312683"/>
      <w:r>
        <w:t>4</w:t>
      </w:r>
      <w:r w:rsidR="00D330E8" w:rsidRPr="009D534F">
        <w:t>.2.</w:t>
      </w:r>
      <w:r w:rsidR="00011D98">
        <w:t xml:space="preserve"> </w:t>
      </w:r>
      <w:r w:rsidR="00D330E8">
        <w:t>İşlemlere İlişkin Esaslar</w:t>
      </w:r>
      <w:bookmarkEnd w:id="130"/>
      <w:bookmarkEnd w:id="131"/>
    </w:p>
    <w:p w:rsidR="004537B8" w:rsidRPr="004537B8" w:rsidRDefault="004537B8" w:rsidP="004537B8"/>
    <w:p w:rsidR="002C3C75" w:rsidRDefault="009129F5" w:rsidP="00CE5BAA">
      <w:pPr>
        <w:pStyle w:val="Heading3"/>
        <w:rPr>
          <w:rFonts w:eastAsia="Times New Roman"/>
          <w:bCs/>
          <w:lang w:eastAsia="tr-TR"/>
        </w:rPr>
      </w:pPr>
      <w:bookmarkStart w:id="132" w:name="_Toc130312551"/>
      <w:bookmarkStart w:id="133" w:name="_Toc130312684"/>
      <w:r>
        <w:t>4</w:t>
      </w:r>
      <w:r w:rsidR="002C3C75">
        <w:t>.2.</w:t>
      </w:r>
      <w:r w:rsidR="00D330E8">
        <w:t>1.</w:t>
      </w:r>
      <w:r w:rsidR="002C3C75" w:rsidRPr="0051763D">
        <w:t xml:space="preserve"> Hazine İhaleleri</w:t>
      </w:r>
      <w:bookmarkEnd w:id="132"/>
      <w:bookmarkEnd w:id="133"/>
    </w:p>
    <w:p w:rsidR="004537B8" w:rsidRPr="004537B8" w:rsidRDefault="004537B8" w:rsidP="001C0D5F">
      <w:pPr>
        <w:spacing w:line="240" w:lineRule="auto"/>
        <w:rPr>
          <w:lang w:eastAsia="tr-TR"/>
        </w:rPr>
      </w:pPr>
    </w:p>
    <w:p w:rsidR="002C3C75" w:rsidRPr="004537B8" w:rsidRDefault="002C3C75" w:rsidP="007C3819">
      <w:pPr>
        <w:spacing w:line="240" w:lineRule="auto"/>
        <w:ind w:firstLine="360"/>
        <w:jc w:val="both"/>
        <w:rPr>
          <w:rFonts w:ascii="Times New Roman" w:hAnsi="Times New Roman" w:cs="Times New Roman"/>
          <w:b/>
          <w:sz w:val="24"/>
          <w:szCs w:val="24"/>
        </w:rPr>
      </w:pPr>
      <w:r w:rsidRPr="004537B8">
        <w:rPr>
          <w:rFonts w:ascii="Times New Roman" w:hAnsi="Times New Roman" w:cs="Times New Roman"/>
          <w:sz w:val="24"/>
          <w:szCs w:val="24"/>
          <w:lang w:eastAsia="tr-TR"/>
        </w:rPr>
        <w:t>Fonlar, aşağıdaki esaslar çerçevesinde Hazine tarafından yapılan ihalelere katılabilir</w:t>
      </w:r>
      <w:r w:rsidR="003A7D44">
        <w:rPr>
          <w:rFonts w:ascii="Times New Roman" w:hAnsi="Times New Roman" w:cs="Times New Roman"/>
          <w:sz w:val="24"/>
          <w:szCs w:val="24"/>
          <w:lang w:eastAsia="tr-TR"/>
        </w:rPr>
        <w:t>:</w:t>
      </w:r>
    </w:p>
    <w:p w:rsidR="002C3C75" w:rsidRDefault="002C3C75" w:rsidP="006806B5">
      <w:pPr>
        <w:pStyle w:val="ListParagraph"/>
        <w:numPr>
          <w:ilvl w:val="0"/>
          <w:numId w:val="77"/>
        </w:numPr>
        <w:jc w:val="both"/>
        <w:rPr>
          <w:rFonts w:ascii="Times New Roman" w:hAnsi="Times New Roman" w:cs="Times New Roman"/>
          <w:sz w:val="24"/>
          <w:szCs w:val="24"/>
        </w:rPr>
      </w:pPr>
      <w:r w:rsidRPr="006806B5">
        <w:rPr>
          <w:rFonts w:ascii="Times New Roman" w:hAnsi="Times New Roman" w:cs="Times New Roman"/>
          <w:sz w:val="24"/>
          <w:szCs w:val="24"/>
        </w:rPr>
        <w:t>Takasbank</w:t>
      </w:r>
      <w:r w:rsidR="007C3819">
        <w:rPr>
          <w:rFonts w:ascii="Times New Roman" w:hAnsi="Times New Roman" w:cs="Times New Roman"/>
          <w:sz w:val="24"/>
          <w:szCs w:val="24"/>
        </w:rPr>
        <w:t xml:space="preserve"> Elektronik Transfer Sistemi</w:t>
      </w:r>
      <w:r w:rsidR="00453BB9">
        <w:rPr>
          <w:rFonts w:ascii="Times New Roman" w:hAnsi="Times New Roman" w:cs="Times New Roman"/>
          <w:sz w:val="24"/>
          <w:szCs w:val="24"/>
        </w:rPr>
        <w:t xml:space="preserve"> </w:t>
      </w:r>
      <w:r w:rsidRPr="004537B8">
        <w:rPr>
          <w:rFonts w:ascii="Times New Roman" w:hAnsi="Times New Roman" w:cs="Times New Roman"/>
          <w:sz w:val="24"/>
          <w:szCs w:val="24"/>
        </w:rPr>
        <w:t xml:space="preserve">(TETS) </w:t>
      </w:r>
      <w:r w:rsidR="007C3819">
        <w:rPr>
          <w:rFonts w:ascii="Times New Roman" w:hAnsi="Times New Roman" w:cs="Times New Roman"/>
          <w:sz w:val="24"/>
          <w:szCs w:val="24"/>
        </w:rPr>
        <w:t xml:space="preserve">kullanılarak </w:t>
      </w:r>
      <w:r w:rsidRPr="004537B8">
        <w:rPr>
          <w:rFonts w:ascii="Times New Roman" w:hAnsi="Times New Roman" w:cs="Times New Roman"/>
          <w:sz w:val="24"/>
          <w:szCs w:val="24"/>
        </w:rPr>
        <w:t xml:space="preserve">veya bir aracı kuruluş </w:t>
      </w:r>
      <w:r w:rsidR="007C3819">
        <w:rPr>
          <w:rFonts w:ascii="Times New Roman" w:hAnsi="Times New Roman" w:cs="Times New Roman"/>
          <w:sz w:val="24"/>
          <w:szCs w:val="24"/>
        </w:rPr>
        <w:t>vasıtasıyla</w:t>
      </w:r>
      <w:r w:rsidR="00453BB9">
        <w:rPr>
          <w:rFonts w:ascii="Times New Roman" w:hAnsi="Times New Roman" w:cs="Times New Roman"/>
          <w:sz w:val="24"/>
          <w:szCs w:val="24"/>
        </w:rPr>
        <w:t xml:space="preserve"> </w:t>
      </w:r>
      <w:r w:rsidR="007C3819">
        <w:rPr>
          <w:rFonts w:ascii="Times New Roman" w:hAnsi="Times New Roman" w:cs="Times New Roman"/>
          <w:sz w:val="24"/>
          <w:szCs w:val="24"/>
        </w:rPr>
        <w:t>Hazine ihalelerine katılım mümkündür.</w:t>
      </w:r>
    </w:p>
    <w:p w:rsidR="007C3819" w:rsidRDefault="007C3819" w:rsidP="006806B5">
      <w:pPr>
        <w:pStyle w:val="ListParagraph"/>
        <w:jc w:val="both"/>
        <w:rPr>
          <w:rFonts w:ascii="Times New Roman" w:hAnsi="Times New Roman" w:cs="Times New Roman"/>
          <w:sz w:val="24"/>
          <w:szCs w:val="24"/>
        </w:rPr>
      </w:pPr>
    </w:p>
    <w:p w:rsidR="002C3C75" w:rsidRPr="007C3819" w:rsidRDefault="002C3C75" w:rsidP="006806B5">
      <w:pPr>
        <w:pStyle w:val="ListParagraph"/>
        <w:numPr>
          <w:ilvl w:val="0"/>
          <w:numId w:val="77"/>
        </w:numPr>
        <w:jc w:val="both"/>
        <w:rPr>
          <w:rFonts w:ascii="Times New Roman" w:hAnsi="Times New Roman" w:cs="Times New Roman"/>
          <w:sz w:val="24"/>
          <w:szCs w:val="24"/>
        </w:rPr>
      </w:pPr>
      <w:r w:rsidRPr="007C3819">
        <w:rPr>
          <w:rFonts w:ascii="Times New Roman" w:hAnsi="Times New Roman" w:cs="Times New Roman"/>
          <w:sz w:val="24"/>
          <w:szCs w:val="24"/>
        </w:rPr>
        <w:t>Hazine ihalesine Takasbank dışında bir aracı kuruluş vasıtasıyla katılmak isteyen fonlar tarafından;</w:t>
      </w:r>
    </w:p>
    <w:p w:rsidR="002C3C75" w:rsidRDefault="002C3C75" w:rsidP="0006161B">
      <w:pPr>
        <w:pStyle w:val="ListParagraph"/>
        <w:numPr>
          <w:ilvl w:val="0"/>
          <w:numId w:val="58"/>
        </w:numPr>
        <w:spacing w:after="0" w:line="240" w:lineRule="auto"/>
        <w:jc w:val="both"/>
        <w:rPr>
          <w:rFonts w:ascii="Times New Roman" w:hAnsi="Times New Roman" w:cs="Times New Roman"/>
          <w:sz w:val="24"/>
          <w:szCs w:val="24"/>
          <w:lang w:eastAsia="tr-TR"/>
        </w:rPr>
      </w:pPr>
      <w:r w:rsidRPr="007C3819">
        <w:rPr>
          <w:rFonts w:ascii="Times New Roman" w:hAnsi="Times New Roman" w:cs="Times New Roman"/>
          <w:sz w:val="24"/>
          <w:szCs w:val="24"/>
          <w:lang w:eastAsia="tr-TR"/>
        </w:rPr>
        <w:t>İhaleye katılımla ilgili olarak verilen emrin elektronik ortamda ihale sonuçlanmadan önce Takasbank'a iletilmesi,</w:t>
      </w:r>
    </w:p>
    <w:p w:rsidR="00C81DB4" w:rsidRPr="007C3819" w:rsidRDefault="00C81DB4" w:rsidP="00C81DB4">
      <w:pPr>
        <w:pStyle w:val="ListParagraph"/>
        <w:spacing w:after="0" w:line="240" w:lineRule="auto"/>
        <w:ind w:left="1428"/>
        <w:jc w:val="both"/>
        <w:rPr>
          <w:rFonts w:ascii="Times New Roman" w:hAnsi="Times New Roman" w:cs="Times New Roman"/>
          <w:sz w:val="24"/>
          <w:szCs w:val="24"/>
          <w:lang w:eastAsia="tr-TR"/>
        </w:rPr>
      </w:pPr>
    </w:p>
    <w:p w:rsidR="004537B8" w:rsidRDefault="002C3C75" w:rsidP="0006161B">
      <w:pPr>
        <w:pStyle w:val="ListParagraph"/>
        <w:numPr>
          <w:ilvl w:val="0"/>
          <w:numId w:val="58"/>
        </w:numPr>
        <w:spacing w:after="0" w:line="240" w:lineRule="auto"/>
        <w:jc w:val="both"/>
        <w:rPr>
          <w:rFonts w:ascii="Times New Roman" w:hAnsi="Times New Roman" w:cs="Times New Roman"/>
          <w:sz w:val="24"/>
          <w:szCs w:val="24"/>
          <w:lang w:eastAsia="tr-TR"/>
        </w:rPr>
      </w:pPr>
      <w:r w:rsidRPr="004537B8">
        <w:rPr>
          <w:rFonts w:ascii="Times New Roman" w:hAnsi="Times New Roman" w:cs="Times New Roman"/>
          <w:sz w:val="24"/>
          <w:szCs w:val="24"/>
          <w:lang w:eastAsia="tr-TR"/>
        </w:rPr>
        <w:t xml:space="preserve">Piyasa yapıcısı olan bankalara tanınan </w:t>
      </w:r>
      <w:r w:rsidR="00C81DB4">
        <w:rPr>
          <w:rFonts w:ascii="Times New Roman" w:hAnsi="Times New Roman" w:cs="Times New Roman"/>
          <w:sz w:val="24"/>
          <w:szCs w:val="24"/>
          <w:lang w:eastAsia="tr-TR"/>
        </w:rPr>
        <w:t>“</w:t>
      </w:r>
      <w:r w:rsidRPr="004537B8">
        <w:rPr>
          <w:rFonts w:ascii="Times New Roman" w:hAnsi="Times New Roman" w:cs="Times New Roman"/>
          <w:sz w:val="24"/>
          <w:szCs w:val="24"/>
          <w:lang w:eastAsia="tr-TR"/>
        </w:rPr>
        <w:t>switch</w:t>
      </w:r>
      <w:r w:rsidR="00C81DB4">
        <w:rPr>
          <w:rFonts w:ascii="Times New Roman" w:hAnsi="Times New Roman" w:cs="Times New Roman"/>
          <w:sz w:val="24"/>
          <w:szCs w:val="24"/>
          <w:lang w:eastAsia="tr-TR"/>
        </w:rPr>
        <w:t>”</w:t>
      </w:r>
      <w:r w:rsidRPr="004537B8">
        <w:rPr>
          <w:rFonts w:ascii="Times New Roman" w:hAnsi="Times New Roman" w:cs="Times New Roman"/>
          <w:sz w:val="24"/>
          <w:szCs w:val="24"/>
          <w:lang w:eastAsia="tr-TR"/>
        </w:rPr>
        <w:t xml:space="preserve"> ve </w:t>
      </w:r>
      <w:r w:rsidR="00C81DB4">
        <w:rPr>
          <w:rFonts w:ascii="Times New Roman" w:hAnsi="Times New Roman" w:cs="Times New Roman"/>
          <w:sz w:val="24"/>
          <w:szCs w:val="24"/>
          <w:lang w:eastAsia="tr-TR"/>
        </w:rPr>
        <w:t>“</w:t>
      </w:r>
      <w:r w:rsidRPr="004537B8">
        <w:rPr>
          <w:rFonts w:ascii="Times New Roman" w:hAnsi="Times New Roman" w:cs="Times New Roman"/>
          <w:sz w:val="24"/>
          <w:szCs w:val="24"/>
          <w:lang w:eastAsia="tr-TR"/>
        </w:rPr>
        <w:t>opsiyon</w:t>
      </w:r>
      <w:r w:rsidR="00C81DB4">
        <w:rPr>
          <w:rFonts w:ascii="Times New Roman" w:hAnsi="Times New Roman" w:cs="Times New Roman"/>
          <w:sz w:val="24"/>
          <w:szCs w:val="24"/>
          <w:lang w:eastAsia="tr-TR"/>
        </w:rPr>
        <w:t>”</w:t>
      </w:r>
      <w:r w:rsidRPr="004537B8">
        <w:rPr>
          <w:rFonts w:ascii="Times New Roman" w:hAnsi="Times New Roman" w:cs="Times New Roman"/>
          <w:sz w:val="24"/>
          <w:szCs w:val="24"/>
          <w:lang w:eastAsia="tr-TR"/>
        </w:rPr>
        <w:t xml:space="preserve"> gibi olanakların kullanılması durumunda elektronik ortamda Takasbank'a bildirim yapılması </w:t>
      </w:r>
    </w:p>
    <w:p w:rsidR="004537B8" w:rsidRDefault="004537B8" w:rsidP="001C0D5F">
      <w:pPr>
        <w:spacing w:after="0" w:line="240" w:lineRule="auto"/>
        <w:ind w:left="993" w:hanging="285"/>
        <w:jc w:val="both"/>
        <w:rPr>
          <w:rFonts w:ascii="Times New Roman" w:hAnsi="Times New Roman" w:cs="Times New Roman"/>
          <w:sz w:val="24"/>
          <w:szCs w:val="24"/>
          <w:lang w:eastAsia="tr-TR"/>
        </w:rPr>
      </w:pPr>
    </w:p>
    <w:p w:rsidR="002C3C75" w:rsidRDefault="002C3C75" w:rsidP="001C0D5F">
      <w:pPr>
        <w:spacing w:line="240" w:lineRule="auto"/>
        <w:ind w:left="993" w:hanging="285"/>
        <w:jc w:val="both"/>
        <w:rPr>
          <w:rFonts w:ascii="Times New Roman" w:hAnsi="Times New Roman" w:cs="Times New Roman"/>
          <w:sz w:val="24"/>
          <w:szCs w:val="24"/>
          <w:lang w:eastAsia="tr-TR"/>
        </w:rPr>
      </w:pPr>
      <w:r w:rsidRPr="004537B8">
        <w:rPr>
          <w:rFonts w:ascii="Times New Roman" w:hAnsi="Times New Roman" w:cs="Times New Roman"/>
          <w:sz w:val="24"/>
          <w:szCs w:val="24"/>
          <w:lang w:eastAsia="tr-TR"/>
        </w:rPr>
        <w:t>zorunludur.</w:t>
      </w:r>
    </w:p>
    <w:p w:rsidR="004537B8" w:rsidRDefault="004537B8" w:rsidP="004537B8">
      <w:pPr>
        <w:ind w:left="993" w:hanging="285"/>
        <w:jc w:val="both"/>
        <w:rPr>
          <w:rFonts w:ascii="Times New Roman" w:hAnsi="Times New Roman" w:cs="Times New Roman"/>
          <w:sz w:val="24"/>
          <w:szCs w:val="24"/>
          <w:lang w:eastAsia="tr-TR"/>
        </w:rPr>
      </w:pPr>
    </w:p>
    <w:p w:rsidR="002C3C75" w:rsidRDefault="009129F5" w:rsidP="00CE5BAA">
      <w:pPr>
        <w:pStyle w:val="Heading3"/>
      </w:pPr>
      <w:bookmarkStart w:id="134" w:name="_Toc130312552"/>
      <w:bookmarkStart w:id="135" w:name="_Toc130312685"/>
      <w:r>
        <w:t>4</w:t>
      </w:r>
      <w:r w:rsidR="00D330E8">
        <w:t>.2</w:t>
      </w:r>
      <w:r w:rsidR="002C3C75">
        <w:t>.</w:t>
      </w:r>
      <w:r w:rsidR="00D330E8">
        <w:t>2.</w:t>
      </w:r>
      <w:r w:rsidR="002C3C75" w:rsidRPr="0051763D">
        <w:t xml:space="preserve"> Aynı Gün Valörlü Tahvil </w:t>
      </w:r>
      <w:r w:rsidR="002C3C75">
        <w:t>v</w:t>
      </w:r>
      <w:r w:rsidR="002C3C75" w:rsidRPr="0051763D">
        <w:t>e Bono</w:t>
      </w:r>
      <w:r w:rsidR="00193EA3">
        <w:t xml:space="preserve"> İşlemleri ile </w:t>
      </w:r>
      <w:r w:rsidR="00E46086">
        <w:t>Ters Repo</w:t>
      </w:r>
      <w:r w:rsidR="002C3C75" w:rsidRPr="0051763D">
        <w:t xml:space="preserve"> İşlemleri</w:t>
      </w:r>
      <w:bookmarkEnd w:id="134"/>
      <w:bookmarkEnd w:id="135"/>
    </w:p>
    <w:p w:rsidR="004537B8" w:rsidRPr="004537B8" w:rsidRDefault="004537B8" w:rsidP="004537B8"/>
    <w:p w:rsidR="00E46086" w:rsidRDefault="008E4F8A" w:rsidP="00E46086">
      <w:pPr>
        <w:shd w:val="clear" w:color="auto" w:fill="FFFFFF"/>
        <w:spacing w:after="240" w:line="240" w:lineRule="auto"/>
        <w:ind w:right="-141"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w:t>
      </w:r>
      <w:r w:rsidR="002C3C75" w:rsidRPr="000100CE">
        <w:rPr>
          <w:rFonts w:ascii="Times New Roman" w:eastAsia="Times New Roman" w:hAnsi="Times New Roman" w:cs="Times New Roman"/>
          <w:sz w:val="24"/>
          <w:szCs w:val="24"/>
          <w:lang w:eastAsia="tr-TR"/>
        </w:rPr>
        <w:t>onlar tarafından, aynı gün valörlü tahvil ve bono işlemleri</w:t>
      </w:r>
      <w:r w:rsidR="00A6669D">
        <w:rPr>
          <w:rFonts w:ascii="Times New Roman" w:eastAsia="Times New Roman" w:hAnsi="Times New Roman" w:cs="Times New Roman"/>
          <w:sz w:val="24"/>
          <w:szCs w:val="24"/>
          <w:lang w:eastAsia="tr-TR"/>
        </w:rPr>
        <w:t xml:space="preserve"> </w:t>
      </w:r>
      <w:r w:rsidR="00A22B82">
        <w:rPr>
          <w:rFonts w:ascii="Times New Roman" w:eastAsia="Times New Roman" w:hAnsi="Times New Roman" w:cs="Times New Roman"/>
          <w:sz w:val="24"/>
          <w:szCs w:val="24"/>
          <w:lang w:eastAsia="tr-TR"/>
        </w:rPr>
        <w:t>ile</w:t>
      </w:r>
      <w:r w:rsidR="00E46086">
        <w:rPr>
          <w:rFonts w:ascii="Times New Roman" w:eastAsia="Times New Roman" w:hAnsi="Times New Roman" w:cs="Times New Roman"/>
          <w:sz w:val="24"/>
          <w:szCs w:val="24"/>
          <w:lang w:eastAsia="tr-TR"/>
        </w:rPr>
        <w:t xml:space="preserve"> ters repo işlemlerinin aynı gün valörlü işlemler için belirlenen işlem saatleri arasında </w:t>
      </w:r>
      <w:r w:rsidR="002C3C75" w:rsidRPr="0051763D">
        <w:rPr>
          <w:rFonts w:ascii="Times New Roman" w:eastAsia="Times New Roman" w:hAnsi="Times New Roman" w:cs="Times New Roman"/>
          <w:sz w:val="24"/>
          <w:szCs w:val="24"/>
          <w:lang w:eastAsia="tr-TR"/>
        </w:rPr>
        <w:t>yapılması esas</w:t>
      </w:r>
      <w:r w:rsidR="002C3C75">
        <w:rPr>
          <w:rFonts w:ascii="Times New Roman" w:eastAsia="Times New Roman" w:hAnsi="Times New Roman" w:cs="Times New Roman"/>
          <w:sz w:val="24"/>
          <w:szCs w:val="24"/>
          <w:lang w:eastAsia="tr-TR"/>
        </w:rPr>
        <w:t xml:space="preserve">tır. </w:t>
      </w:r>
    </w:p>
    <w:p w:rsidR="00E46086" w:rsidRPr="000100CE" w:rsidRDefault="002C3C75" w:rsidP="00E46086">
      <w:pPr>
        <w:shd w:val="clear" w:color="auto" w:fill="FFFFFF"/>
        <w:spacing w:after="240" w:line="240" w:lineRule="auto"/>
        <w:ind w:right="-141"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Ancak,</w:t>
      </w:r>
      <w:r w:rsidR="00453BB9">
        <w:rPr>
          <w:rFonts w:ascii="Times New Roman" w:eastAsia="Times New Roman" w:hAnsi="Times New Roman" w:cs="Times New Roman"/>
          <w:sz w:val="24"/>
          <w:szCs w:val="24"/>
          <w:lang w:eastAsia="tr-TR"/>
        </w:rPr>
        <w:t xml:space="preserve"> </w:t>
      </w:r>
      <w:r w:rsidRPr="00CB73AF">
        <w:rPr>
          <w:rFonts w:ascii="Times New Roman" w:eastAsia="Times New Roman" w:hAnsi="Times New Roman" w:cs="Times New Roman"/>
          <w:sz w:val="24"/>
          <w:szCs w:val="24"/>
          <w:lang w:eastAsia="tr-TR"/>
        </w:rPr>
        <w:t>BİAŞ tarafından belirlenen işlem kurallarına uyulma</w:t>
      </w:r>
      <w:r>
        <w:rPr>
          <w:rFonts w:ascii="Times New Roman" w:eastAsia="Times New Roman" w:hAnsi="Times New Roman" w:cs="Times New Roman"/>
          <w:sz w:val="24"/>
          <w:szCs w:val="24"/>
          <w:lang w:eastAsia="tr-TR"/>
        </w:rPr>
        <w:t>k şartıyla</w:t>
      </w:r>
      <w:r w:rsidR="007744DE">
        <w:rPr>
          <w:rFonts w:ascii="Times New Roman" w:eastAsia="Times New Roman" w:hAnsi="Times New Roman" w:cs="Times New Roman"/>
          <w:sz w:val="24"/>
          <w:szCs w:val="24"/>
          <w:lang w:eastAsia="tr-TR"/>
        </w:rPr>
        <w:t>,</w:t>
      </w:r>
      <w:r w:rsidR="00280CD8">
        <w:rPr>
          <w:rFonts w:ascii="Times New Roman" w:eastAsia="Times New Roman" w:hAnsi="Times New Roman" w:cs="Times New Roman"/>
          <w:sz w:val="24"/>
          <w:szCs w:val="24"/>
          <w:lang w:eastAsia="tr-TR"/>
        </w:rPr>
        <w:t xml:space="preserve"> </w:t>
      </w:r>
      <w:r w:rsidRPr="0051763D">
        <w:rPr>
          <w:rFonts w:ascii="Times New Roman" w:eastAsia="Times New Roman" w:hAnsi="Times New Roman" w:cs="Times New Roman"/>
          <w:sz w:val="24"/>
          <w:szCs w:val="24"/>
          <w:lang w:eastAsia="tr-TR"/>
        </w:rPr>
        <w:t>nakit ihtiyacı</w:t>
      </w:r>
      <w:r>
        <w:rPr>
          <w:rFonts w:ascii="Times New Roman" w:eastAsia="Times New Roman" w:hAnsi="Times New Roman" w:cs="Times New Roman"/>
          <w:sz w:val="24"/>
          <w:szCs w:val="24"/>
          <w:lang w:eastAsia="tr-TR"/>
        </w:rPr>
        <w:t>nı</w:t>
      </w:r>
      <w:r w:rsidRPr="0051763D">
        <w:rPr>
          <w:rFonts w:ascii="Times New Roman" w:eastAsia="Times New Roman" w:hAnsi="Times New Roman" w:cs="Times New Roman"/>
          <w:sz w:val="24"/>
          <w:szCs w:val="24"/>
          <w:lang w:eastAsia="tr-TR"/>
        </w:rPr>
        <w:t xml:space="preserve"> karşılamak veya nakit fazlasını değerlendirmek</w:t>
      </w:r>
      <w:r w:rsidR="00E46086">
        <w:rPr>
          <w:rFonts w:ascii="Times New Roman" w:eastAsia="Times New Roman" w:hAnsi="Times New Roman" w:cs="Times New Roman"/>
          <w:sz w:val="24"/>
          <w:szCs w:val="24"/>
          <w:lang w:eastAsia="tr-TR"/>
        </w:rPr>
        <w:t xml:space="preserve"> üzere,</w:t>
      </w:r>
      <w:r w:rsidR="00A6669D">
        <w:rPr>
          <w:rFonts w:ascii="Times New Roman" w:eastAsia="Times New Roman" w:hAnsi="Times New Roman" w:cs="Times New Roman"/>
          <w:sz w:val="24"/>
          <w:szCs w:val="24"/>
          <w:lang w:eastAsia="tr-TR"/>
        </w:rPr>
        <w:t xml:space="preserve"> </w:t>
      </w:r>
      <w:r w:rsidR="00E46086">
        <w:rPr>
          <w:rFonts w:ascii="Times New Roman" w:eastAsia="Times New Roman" w:hAnsi="Times New Roman" w:cs="Times New Roman"/>
          <w:sz w:val="24"/>
          <w:szCs w:val="24"/>
          <w:lang w:eastAsia="tr-TR"/>
        </w:rPr>
        <w:t xml:space="preserve">aynı gün valörlü işlemler için BİAŞ tarafından belirlenen işlem saatleri dışında, </w:t>
      </w:r>
      <w:r w:rsidRPr="0051763D">
        <w:rPr>
          <w:rFonts w:ascii="Times New Roman" w:eastAsia="Times New Roman" w:hAnsi="Times New Roman" w:cs="Times New Roman"/>
          <w:sz w:val="24"/>
          <w:szCs w:val="24"/>
          <w:lang w:eastAsia="tr-TR"/>
        </w:rPr>
        <w:t>aynı gün valörlü tahvil ve bono</w:t>
      </w:r>
      <w:r w:rsidR="00453BB9">
        <w:rPr>
          <w:rFonts w:ascii="Times New Roman" w:eastAsia="Times New Roman" w:hAnsi="Times New Roman" w:cs="Times New Roman"/>
          <w:sz w:val="24"/>
          <w:szCs w:val="24"/>
          <w:lang w:eastAsia="tr-TR"/>
        </w:rPr>
        <w:t xml:space="preserve"> </w:t>
      </w:r>
      <w:r w:rsidR="00637C2D">
        <w:rPr>
          <w:rFonts w:ascii="Times New Roman" w:eastAsia="Times New Roman" w:hAnsi="Times New Roman" w:cs="Times New Roman"/>
          <w:sz w:val="24"/>
          <w:szCs w:val="24"/>
          <w:lang w:eastAsia="tr-TR"/>
        </w:rPr>
        <w:t xml:space="preserve">işlemleri </w:t>
      </w:r>
      <w:r w:rsidR="00EF4CFC">
        <w:rPr>
          <w:rFonts w:ascii="Times New Roman" w:eastAsia="Times New Roman" w:hAnsi="Times New Roman" w:cs="Times New Roman"/>
          <w:sz w:val="24"/>
          <w:szCs w:val="24"/>
          <w:lang w:eastAsia="tr-TR"/>
        </w:rPr>
        <w:t xml:space="preserve">ile ters repo işlemleri </w:t>
      </w:r>
      <w:r w:rsidRPr="0051763D">
        <w:rPr>
          <w:rFonts w:ascii="Times New Roman" w:eastAsia="Times New Roman" w:hAnsi="Times New Roman" w:cs="Times New Roman"/>
          <w:sz w:val="24"/>
          <w:szCs w:val="24"/>
          <w:lang w:eastAsia="tr-TR"/>
        </w:rPr>
        <w:t xml:space="preserve">yapılabilir. </w:t>
      </w:r>
      <w:r w:rsidR="00E46086">
        <w:rPr>
          <w:rFonts w:ascii="Times New Roman" w:eastAsia="Times New Roman" w:hAnsi="Times New Roman" w:cs="Times New Roman"/>
          <w:sz w:val="24"/>
          <w:szCs w:val="24"/>
          <w:lang w:eastAsia="tr-TR"/>
        </w:rPr>
        <w:t xml:space="preserve">Ancak bu durumlarda, </w:t>
      </w:r>
      <w:r w:rsidR="00E46086" w:rsidRPr="008C4295">
        <w:rPr>
          <w:rFonts w:ascii="Times New Roman" w:eastAsia="Times New Roman" w:hAnsi="Times New Roman" w:cs="Times New Roman"/>
          <w:sz w:val="24"/>
          <w:szCs w:val="24"/>
          <w:lang w:eastAsia="tr-TR"/>
        </w:rPr>
        <w:t>yatırım kararlarının güvenilir gerekçe, belge ve analizlere dayandırılması zorunludur</w:t>
      </w:r>
      <w:r w:rsidR="00E46086">
        <w:rPr>
          <w:rFonts w:ascii="Times New Roman" w:eastAsia="Times New Roman" w:hAnsi="Times New Roman" w:cs="Times New Roman"/>
          <w:sz w:val="24"/>
          <w:szCs w:val="24"/>
          <w:lang w:eastAsia="tr-TR"/>
        </w:rPr>
        <w:t>.</w:t>
      </w:r>
      <w:r w:rsidR="00453BB9">
        <w:rPr>
          <w:rFonts w:ascii="Times New Roman" w:eastAsia="Times New Roman" w:hAnsi="Times New Roman" w:cs="Times New Roman"/>
          <w:sz w:val="24"/>
          <w:szCs w:val="24"/>
          <w:lang w:eastAsia="tr-TR"/>
        </w:rPr>
        <w:t xml:space="preserve"> </w:t>
      </w:r>
      <w:r w:rsidR="00E46086" w:rsidRPr="000100CE">
        <w:rPr>
          <w:rFonts w:ascii="Times New Roman" w:eastAsia="Times New Roman" w:hAnsi="Times New Roman" w:cs="Times New Roman"/>
          <w:sz w:val="24"/>
          <w:szCs w:val="24"/>
          <w:lang w:eastAsia="tr-TR"/>
        </w:rPr>
        <w:t>Belirtilen saatler arasındaki işlemlerin mahiyeti itibariyle olağan piyasa şartları, işlem kuralları ve beklentileri içinde yapılması ve haksız rekabete yol açılmaması konusunda azami özenin gösterilmesi gerekir.</w:t>
      </w:r>
    </w:p>
    <w:p w:rsidR="001940D5" w:rsidRDefault="009129F5" w:rsidP="00A60A07">
      <w:pPr>
        <w:pStyle w:val="Heading3"/>
        <w:rPr>
          <w:rFonts w:eastAsia="Times New Roman"/>
          <w:lang w:eastAsia="tr-TR"/>
        </w:rPr>
      </w:pPr>
      <w:bookmarkStart w:id="136" w:name="_Toc130312553"/>
      <w:bookmarkStart w:id="137" w:name="_Toc130312686"/>
      <w:r>
        <w:rPr>
          <w:rFonts w:eastAsia="Times New Roman"/>
          <w:lang w:eastAsia="tr-TR"/>
        </w:rPr>
        <w:t>4</w:t>
      </w:r>
      <w:r w:rsidR="003B6307">
        <w:rPr>
          <w:rFonts w:eastAsia="Times New Roman"/>
          <w:lang w:eastAsia="tr-TR"/>
        </w:rPr>
        <w:t>.</w:t>
      </w:r>
      <w:r w:rsidR="001940D5" w:rsidRPr="00A60A07">
        <w:rPr>
          <w:rFonts w:eastAsia="Times New Roman"/>
          <w:lang w:eastAsia="tr-TR"/>
        </w:rPr>
        <w:t xml:space="preserve">2.3. </w:t>
      </w:r>
      <w:r w:rsidR="00670E6F" w:rsidRPr="009168AA">
        <w:t xml:space="preserve">(Değişiklik: </w:t>
      </w:r>
      <w:r w:rsidR="00670E6F">
        <w:t>09.05.2017 tarih ve 20/688</w:t>
      </w:r>
      <w:r w:rsidR="00670E6F" w:rsidRPr="009168AA">
        <w:t xml:space="preserve"> sayılı Kurul Kararı ile)</w:t>
      </w:r>
      <w:r w:rsidR="00670E6F">
        <w:t xml:space="preserve"> </w:t>
      </w:r>
      <w:r w:rsidR="001940D5" w:rsidRPr="00A60A07">
        <w:rPr>
          <w:rFonts w:eastAsia="Times New Roman"/>
          <w:lang w:eastAsia="tr-TR"/>
        </w:rPr>
        <w:t>Borsa Dışı</w:t>
      </w:r>
      <w:r w:rsidR="001F1161">
        <w:rPr>
          <w:rFonts w:eastAsia="Times New Roman"/>
          <w:lang w:eastAsia="tr-TR"/>
        </w:rPr>
        <w:t xml:space="preserve"> Ters Repo</w:t>
      </w:r>
      <w:r w:rsidR="001940D5" w:rsidRPr="00A60A07">
        <w:rPr>
          <w:rFonts w:eastAsia="Times New Roman"/>
          <w:lang w:eastAsia="tr-TR"/>
        </w:rPr>
        <w:t xml:space="preserve"> </w:t>
      </w:r>
      <w:r w:rsidR="00670E6F">
        <w:rPr>
          <w:rFonts w:eastAsia="Times New Roman"/>
          <w:lang w:eastAsia="tr-TR"/>
        </w:rPr>
        <w:t xml:space="preserve">ve Vaad </w:t>
      </w:r>
      <w:r w:rsidR="001940D5" w:rsidRPr="007814BB">
        <w:rPr>
          <w:rFonts w:eastAsia="Times New Roman"/>
          <w:lang w:eastAsia="tr-TR"/>
        </w:rPr>
        <w:t>Sözleşmeler</w:t>
      </w:r>
      <w:r w:rsidR="00FF0603" w:rsidRPr="007814BB">
        <w:rPr>
          <w:rFonts w:eastAsia="Times New Roman"/>
          <w:lang w:eastAsia="tr-TR"/>
        </w:rPr>
        <w:t>i</w:t>
      </w:r>
      <w:bookmarkEnd w:id="136"/>
      <w:bookmarkEnd w:id="137"/>
    </w:p>
    <w:p w:rsidR="004537B8" w:rsidRPr="004537B8" w:rsidRDefault="004537B8" w:rsidP="004537B8">
      <w:pPr>
        <w:rPr>
          <w:lang w:eastAsia="tr-TR"/>
        </w:rPr>
      </w:pPr>
    </w:p>
    <w:p w:rsidR="00BD32F1" w:rsidRDefault="00BD32F1" w:rsidP="004537B8">
      <w:pPr>
        <w:spacing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Fonlar tarafından</w:t>
      </w:r>
      <w:r w:rsidR="004537B8">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Fon Tebliği’nin 21’inci maddesi çerçevesinde fon toplam değerinin %10’unu geçmemek üzere borsa dışında ters repo sözleşmelerine taraf olunabilir. Söz konusu </w:t>
      </w:r>
      <w:r w:rsidR="00DD13D0">
        <w:rPr>
          <w:rFonts w:ascii="Times New Roman" w:eastAsia="Times New Roman" w:hAnsi="Times New Roman" w:cs="Times New Roman"/>
          <w:sz w:val="24"/>
          <w:szCs w:val="24"/>
          <w:lang w:eastAsia="tr-TR"/>
        </w:rPr>
        <w:t xml:space="preserve">%10’luk </w:t>
      </w:r>
      <w:r>
        <w:rPr>
          <w:rFonts w:ascii="Times New Roman" w:eastAsia="Times New Roman" w:hAnsi="Times New Roman" w:cs="Times New Roman"/>
          <w:sz w:val="24"/>
          <w:szCs w:val="24"/>
          <w:lang w:eastAsia="tr-TR"/>
        </w:rPr>
        <w:t>sınırlama g</w:t>
      </w:r>
      <w:r w:rsidRPr="006A1B34">
        <w:rPr>
          <w:rFonts w:ascii="Times New Roman" w:eastAsia="Times New Roman" w:hAnsi="Times New Roman" w:cs="Times New Roman"/>
          <w:sz w:val="24"/>
          <w:szCs w:val="24"/>
          <w:lang w:eastAsia="tr-TR"/>
        </w:rPr>
        <w:t>arantili yatırım fonları ve koruma a</w:t>
      </w:r>
      <w:r>
        <w:rPr>
          <w:rFonts w:ascii="Times New Roman" w:eastAsia="Times New Roman" w:hAnsi="Times New Roman" w:cs="Times New Roman"/>
          <w:sz w:val="24"/>
          <w:szCs w:val="24"/>
          <w:lang w:eastAsia="tr-TR"/>
        </w:rPr>
        <w:t xml:space="preserve">maçlı yatırım fonları için uygulanmaz. </w:t>
      </w:r>
    </w:p>
    <w:p w:rsidR="004537B8" w:rsidRDefault="001940D5" w:rsidP="004537B8">
      <w:pPr>
        <w:spacing w:line="240" w:lineRule="auto"/>
        <w:ind w:firstLine="708"/>
        <w:jc w:val="both"/>
        <w:rPr>
          <w:rFonts w:ascii="Times New Roman" w:eastAsia="Times New Roman" w:hAnsi="Times New Roman" w:cs="Times New Roman"/>
          <w:sz w:val="24"/>
          <w:szCs w:val="24"/>
          <w:lang w:eastAsia="tr-TR"/>
        </w:rPr>
      </w:pPr>
      <w:r w:rsidRPr="006A1B34">
        <w:rPr>
          <w:rFonts w:ascii="Times New Roman" w:eastAsia="Times New Roman" w:hAnsi="Times New Roman" w:cs="Times New Roman"/>
          <w:sz w:val="24"/>
          <w:szCs w:val="24"/>
          <w:lang w:eastAsia="tr-TR"/>
        </w:rPr>
        <w:t>Garantili ve koruma amaçlı yatırım fonları tarafından borsa dışında taraf olunan ters repo sözleşmeleri</w:t>
      </w:r>
      <w:r w:rsidR="008408A1">
        <w:rPr>
          <w:rFonts w:ascii="Times New Roman" w:eastAsia="Times New Roman" w:hAnsi="Times New Roman" w:cs="Times New Roman"/>
          <w:sz w:val="24"/>
          <w:szCs w:val="24"/>
          <w:lang w:eastAsia="tr-TR"/>
        </w:rPr>
        <w:t xml:space="preserve"> için Fon Tebliği’nin </w:t>
      </w:r>
      <w:r w:rsidR="00C26917">
        <w:rPr>
          <w:rFonts w:ascii="Times New Roman" w:eastAsia="Times New Roman" w:hAnsi="Times New Roman" w:cs="Times New Roman"/>
          <w:sz w:val="24"/>
          <w:szCs w:val="24"/>
          <w:lang w:eastAsia="tr-TR"/>
        </w:rPr>
        <w:t>19’</w:t>
      </w:r>
      <w:r w:rsidR="008E4F8A">
        <w:rPr>
          <w:rFonts w:ascii="Times New Roman" w:eastAsia="Times New Roman" w:hAnsi="Times New Roman" w:cs="Times New Roman"/>
          <w:sz w:val="24"/>
          <w:szCs w:val="24"/>
          <w:lang w:eastAsia="tr-TR"/>
        </w:rPr>
        <w:t>u</w:t>
      </w:r>
      <w:r w:rsidR="00C26917">
        <w:rPr>
          <w:rFonts w:ascii="Times New Roman" w:eastAsia="Times New Roman" w:hAnsi="Times New Roman" w:cs="Times New Roman"/>
          <w:sz w:val="24"/>
          <w:szCs w:val="24"/>
          <w:lang w:eastAsia="tr-TR"/>
        </w:rPr>
        <w:t>ncu ve 21’inci maddelerinde yer alan şartların sağlanmasına ilave olarak,</w:t>
      </w:r>
      <w:r w:rsidRPr="006A1B34">
        <w:rPr>
          <w:rFonts w:ascii="Times New Roman" w:eastAsia="Times New Roman" w:hAnsi="Times New Roman" w:cs="Times New Roman"/>
          <w:sz w:val="24"/>
          <w:szCs w:val="24"/>
          <w:lang w:eastAsia="tr-TR"/>
        </w:rPr>
        <w:t xml:space="preserve"> karşı taraftan alınan ters repoya konu varlıklar</w:t>
      </w:r>
      <w:r w:rsidR="00DD13D0">
        <w:rPr>
          <w:rFonts w:ascii="Times New Roman" w:eastAsia="Times New Roman" w:hAnsi="Times New Roman" w:cs="Times New Roman"/>
          <w:sz w:val="24"/>
          <w:szCs w:val="24"/>
          <w:lang w:eastAsia="tr-TR"/>
        </w:rPr>
        <w:t>ın</w:t>
      </w:r>
      <w:r w:rsidR="00453BB9">
        <w:rPr>
          <w:rFonts w:ascii="Times New Roman" w:eastAsia="Times New Roman" w:hAnsi="Times New Roman" w:cs="Times New Roman"/>
          <w:sz w:val="24"/>
          <w:szCs w:val="24"/>
          <w:lang w:eastAsia="tr-TR"/>
        </w:rPr>
        <w:t xml:space="preserve"> </w:t>
      </w:r>
      <w:r w:rsidR="00566FFB">
        <w:rPr>
          <w:rFonts w:ascii="Times New Roman" w:eastAsia="Times New Roman" w:hAnsi="Times New Roman" w:cs="Times New Roman"/>
          <w:sz w:val="24"/>
          <w:szCs w:val="24"/>
          <w:lang w:eastAsia="tr-TR"/>
        </w:rPr>
        <w:t>ilgili düzenlemeler çerçevesinde</w:t>
      </w:r>
      <w:r w:rsidRPr="006A1B34">
        <w:rPr>
          <w:rFonts w:ascii="Times New Roman" w:eastAsia="Times New Roman" w:hAnsi="Times New Roman" w:cs="Times New Roman"/>
          <w:sz w:val="24"/>
          <w:szCs w:val="24"/>
          <w:lang w:eastAsia="tr-TR"/>
        </w:rPr>
        <w:t xml:space="preserve"> sakla</w:t>
      </w:r>
      <w:r w:rsidR="00566FFB">
        <w:rPr>
          <w:rFonts w:ascii="Times New Roman" w:eastAsia="Times New Roman" w:hAnsi="Times New Roman" w:cs="Times New Roman"/>
          <w:sz w:val="24"/>
          <w:szCs w:val="24"/>
          <w:lang w:eastAsia="tr-TR"/>
        </w:rPr>
        <w:t>ma hesaplarında depo</w:t>
      </w:r>
      <w:r w:rsidR="00D06174">
        <w:rPr>
          <w:rFonts w:ascii="Times New Roman" w:eastAsia="Times New Roman" w:hAnsi="Times New Roman" w:cs="Times New Roman"/>
          <w:sz w:val="24"/>
          <w:szCs w:val="24"/>
          <w:lang w:eastAsia="tr-TR"/>
        </w:rPr>
        <w:t xml:space="preserve"> edilmesi </w:t>
      </w:r>
      <w:r w:rsidR="00566FFB">
        <w:rPr>
          <w:rFonts w:ascii="Times New Roman" w:eastAsia="Times New Roman" w:hAnsi="Times New Roman" w:cs="Times New Roman"/>
          <w:sz w:val="24"/>
          <w:szCs w:val="24"/>
          <w:lang w:eastAsia="tr-TR"/>
        </w:rPr>
        <w:t>gere</w:t>
      </w:r>
      <w:r w:rsidR="004C40A2">
        <w:rPr>
          <w:rFonts w:ascii="Times New Roman" w:eastAsia="Times New Roman" w:hAnsi="Times New Roman" w:cs="Times New Roman"/>
          <w:sz w:val="24"/>
          <w:szCs w:val="24"/>
          <w:lang w:eastAsia="tr-TR"/>
        </w:rPr>
        <w:t>k</w:t>
      </w:r>
      <w:r w:rsidR="00566FFB">
        <w:rPr>
          <w:rFonts w:ascii="Times New Roman" w:eastAsia="Times New Roman" w:hAnsi="Times New Roman" w:cs="Times New Roman"/>
          <w:sz w:val="24"/>
          <w:szCs w:val="24"/>
          <w:lang w:eastAsia="tr-TR"/>
        </w:rPr>
        <w:t>ir.</w:t>
      </w:r>
    </w:p>
    <w:p w:rsidR="00670E6F" w:rsidRPr="00670E6F" w:rsidRDefault="00670E6F" w:rsidP="00670E6F">
      <w:pPr>
        <w:spacing w:after="0" w:line="240" w:lineRule="auto"/>
        <w:ind w:firstLine="708"/>
        <w:jc w:val="both"/>
        <w:rPr>
          <w:rFonts w:ascii="Times New Roman" w:eastAsia="Times New Roman" w:hAnsi="Times New Roman" w:cs="Times New Roman"/>
          <w:sz w:val="24"/>
          <w:szCs w:val="24"/>
          <w:lang w:eastAsia="tr-TR"/>
        </w:rPr>
      </w:pPr>
      <w:r w:rsidRPr="00670E6F">
        <w:rPr>
          <w:rFonts w:ascii="Times New Roman" w:eastAsia="Times New Roman" w:hAnsi="Times New Roman" w:cs="Times New Roman"/>
          <w:sz w:val="24"/>
          <w:szCs w:val="24"/>
          <w:lang w:eastAsia="tr-TR"/>
        </w:rPr>
        <w:t>Fon Tebliği’nin 19. maddesinin üçüncü ve dördüncü fıkrasındaki şartların sağlanması ve fon toplam değerinin %10’unu aşmaması kaydıyla fon portföyüne vaad sözleşmeleri dahil edilebilir. Sözleşmenin karşı tarafının, yönetim kontrolü</w:t>
      </w:r>
      <w:r w:rsidR="008C7AAA">
        <w:rPr>
          <w:rStyle w:val="FootnoteReference"/>
          <w:rFonts w:ascii="Times New Roman" w:eastAsia="Times New Roman" w:hAnsi="Times New Roman" w:cs="Times New Roman"/>
          <w:sz w:val="24"/>
          <w:szCs w:val="24"/>
          <w:lang w:eastAsia="tr-TR"/>
        </w:rPr>
        <w:footnoteReference w:id="6"/>
      </w:r>
      <w:r w:rsidRPr="00670E6F">
        <w:rPr>
          <w:rFonts w:ascii="Times New Roman" w:eastAsia="Times New Roman" w:hAnsi="Times New Roman" w:cs="Times New Roman"/>
          <w:sz w:val="24"/>
          <w:szCs w:val="24"/>
          <w:lang w:eastAsia="tr-TR"/>
        </w:rPr>
        <w:t xml:space="preserve"> kamu kurum ve kuruluşlarına ait olan bir banka olması ve derecelendirme yapılabilmesi için gerekli olan şartların sağlanamaması halinde notun ilk defa alınmasına kadar geçen sürede anılan banka için Fon Tebliği’nin 19. maddesinin üçüncü fıkrasının (b) bendinde yer alan derecelendirme şartı aranmaz.</w:t>
      </w:r>
    </w:p>
    <w:p w:rsidR="00670E6F" w:rsidRPr="00670E6F" w:rsidRDefault="00670E6F" w:rsidP="00670E6F">
      <w:pPr>
        <w:spacing w:after="0" w:line="240" w:lineRule="auto"/>
        <w:jc w:val="both"/>
        <w:rPr>
          <w:rFonts w:ascii="Times New Roman" w:eastAsia="Times New Roman" w:hAnsi="Times New Roman" w:cs="Times New Roman"/>
          <w:sz w:val="24"/>
          <w:szCs w:val="24"/>
          <w:lang w:eastAsia="tr-TR"/>
        </w:rPr>
      </w:pPr>
      <w:r w:rsidRPr="00670E6F">
        <w:rPr>
          <w:rFonts w:ascii="Times New Roman" w:eastAsia="Times New Roman" w:hAnsi="Times New Roman" w:cs="Times New Roman"/>
          <w:sz w:val="24"/>
          <w:szCs w:val="24"/>
          <w:lang w:eastAsia="tr-TR"/>
        </w:rPr>
        <w:t xml:space="preserve">         Vaad sözleşmelerinin olası karşı tarafları ile söz konusu tarafların derecelendirme notlarına ilişkin bilgiler yatırım fonunun KAP sayfasında açıklanır ve açıklanan bilgilerde değişiklik meydana gelmesi durumunda KAP’ta yapılan bir önceki açıklama güncellenir. Söz konusu sözleşmelerin kar payı oranı ve vadesine ilişkin bilgilere ise aylık dönemler itibariyle hazırlanan portföy dağılım raporunda yer verilir ve bu işlemlere ilişkin bilgi, belgeler sözleşme tarihini müteakip beş yıl süreyle Kurucu/Yönetici merkezinde muhafaza edilir. Karşı taraftan alınan vaad sözleşmelerine konu varlıkların ilgili düzenlemeler çerçevesinde yatırım fonunun saklama hesaplarında depo edilmesi gerekir. </w:t>
      </w:r>
    </w:p>
    <w:p w:rsidR="00FF0603" w:rsidRDefault="00FF0603" w:rsidP="006B0F17">
      <w:pPr>
        <w:spacing w:line="240" w:lineRule="auto"/>
        <w:jc w:val="both"/>
        <w:rPr>
          <w:rFonts w:ascii="Times New Roman" w:eastAsia="Times New Roman" w:hAnsi="Times New Roman" w:cs="Times New Roman"/>
          <w:sz w:val="24"/>
          <w:szCs w:val="24"/>
          <w:lang w:eastAsia="tr-TR"/>
        </w:rPr>
      </w:pPr>
    </w:p>
    <w:p w:rsidR="00435994" w:rsidRDefault="00435994" w:rsidP="00435994">
      <w:pPr>
        <w:pStyle w:val="Heading3"/>
        <w:jc w:val="both"/>
        <w:rPr>
          <w:rFonts w:eastAsia="Times New Roman"/>
          <w:lang w:eastAsia="tr-TR"/>
        </w:rPr>
      </w:pPr>
      <w:bookmarkStart w:id="138" w:name="_Toc444782257"/>
      <w:bookmarkStart w:id="139" w:name="_Toc130312554"/>
      <w:bookmarkStart w:id="140" w:name="_Toc130312687"/>
      <w:r>
        <w:rPr>
          <w:rFonts w:eastAsia="Times New Roman"/>
          <w:lang w:eastAsia="tr-TR"/>
        </w:rPr>
        <w:t xml:space="preserve">4.2.4. </w:t>
      </w:r>
      <w:r w:rsidRPr="009168AA">
        <w:t xml:space="preserve">(Değişiklik: </w:t>
      </w:r>
      <w:r w:rsidR="009168AA" w:rsidRPr="009168AA">
        <w:t>23.05.2016 tarih ve 17/573 sayılı Kurul Kararı ile)</w:t>
      </w:r>
      <w:r w:rsidR="009168AA">
        <w:t xml:space="preserve"> </w:t>
      </w:r>
      <w:r w:rsidRPr="005D158F">
        <w:rPr>
          <w:rFonts w:eastAsia="Times New Roman"/>
          <w:lang w:eastAsia="tr-TR"/>
        </w:rPr>
        <w:t xml:space="preserve">Yurt Dışında </w:t>
      </w:r>
      <w:r>
        <w:rPr>
          <w:rFonts w:eastAsia="Times New Roman"/>
          <w:lang w:eastAsia="tr-TR"/>
        </w:rPr>
        <w:t xml:space="preserve">Gerçekleştirilecek </w:t>
      </w:r>
      <w:r w:rsidRPr="005D158F">
        <w:rPr>
          <w:rFonts w:eastAsia="Times New Roman"/>
          <w:lang w:eastAsia="tr-TR"/>
        </w:rPr>
        <w:t xml:space="preserve">Borsa Dışı </w:t>
      </w:r>
      <w:r w:rsidRPr="000100CE">
        <w:rPr>
          <w:rFonts w:eastAsia="Times New Roman"/>
          <w:lang w:eastAsia="tr-TR"/>
        </w:rPr>
        <w:t>Repo</w:t>
      </w:r>
      <w:r>
        <w:rPr>
          <w:rFonts w:eastAsia="Times New Roman"/>
          <w:lang w:eastAsia="tr-TR"/>
        </w:rPr>
        <w:t xml:space="preserve"> </w:t>
      </w:r>
      <w:r w:rsidRPr="000100CE">
        <w:rPr>
          <w:rFonts w:eastAsia="Times New Roman"/>
          <w:lang w:eastAsia="tr-TR"/>
        </w:rPr>
        <w:t>İşlemleri</w:t>
      </w:r>
      <w:bookmarkEnd w:id="138"/>
      <w:r>
        <w:rPr>
          <w:rFonts w:eastAsia="Times New Roman"/>
          <w:lang w:eastAsia="tr-TR"/>
        </w:rPr>
        <w:t xml:space="preserve"> ve </w:t>
      </w:r>
      <w:r w:rsidRPr="007B1783">
        <w:rPr>
          <w:rFonts w:eastAsia="Times New Roman"/>
          <w:lang w:eastAsia="tr-TR"/>
        </w:rPr>
        <w:t>Yurt Dışı Bankalar Nezdinde Açılan Mevduat/Katılma Hesapları</w:t>
      </w:r>
      <w:bookmarkEnd w:id="139"/>
      <w:bookmarkEnd w:id="140"/>
    </w:p>
    <w:p w:rsidR="00435994" w:rsidRDefault="00435994" w:rsidP="00435994">
      <w:pPr>
        <w:ind w:firstLine="708"/>
        <w:jc w:val="both"/>
        <w:rPr>
          <w:rFonts w:ascii="Times New Roman" w:hAnsi="Times New Roman" w:cs="Times New Roman"/>
          <w:sz w:val="24"/>
          <w:szCs w:val="24"/>
        </w:rPr>
      </w:pPr>
    </w:p>
    <w:p w:rsidR="00435994" w:rsidRPr="007B1783" w:rsidRDefault="00435994" w:rsidP="00435994">
      <w:pPr>
        <w:ind w:firstLine="708"/>
        <w:jc w:val="both"/>
        <w:rPr>
          <w:rFonts w:ascii="Times New Roman" w:hAnsi="Times New Roman" w:cs="Times New Roman"/>
          <w:sz w:val="24"/>
          <w:szCs w:val="24"/>
        </w:rPr>
      </w:pPr>
      <w:r w:rsidRPr="007B1783">
        <w:rPr>
          <w:rFonts w:ascii="Times New Roman" w:hAnsi="Times New Roman" w:cs="Times New Roman"/>
          <w:sz w:val="24"/>
          <w:szCs w:val="24"/>
        </w:rPr>
        <w:t xml:space="preserve">Yalnızca unvanında “Yabancı” veya “(Döviz)” ibaresi yer alan fonlar tarafından; </w:t>
      </w:r>
    </w:p>
    <w:p w:rsidR="00435994" w:rsidRPr="007B1783" w:rsidRDefault="00435994" w:rsidP="00435994">
      <w:pPr>
        <w:pStyle w:val="ListParagraph"/>
        <w:numPr>
          <w:ilvl w:val="0"/>
          <w:numId w:val="30"/>
        </w:numPr>
        <w:spacing w:after="0" w:line="240" w:lineRule="auto"/>
        <w:jc w:val="both"/>
        <w:rPr>
          <w:rFonts w:ascii="Times New Roman" w:hAnsi="Times New Roman" w:cs="Times New Roman"/>
          <w:sz w:val="24"/>
          <w:szCs w:val="24"/>
        </w:rPr>
      </w:pPr>
      <w:r w:rsidRPr="007B1783">
        <w:rPr>
          <w:rFonts w:ascii="Times New Roman" w:hAnsi="Times New Roman" w:cs="Times New Roman"/>
          <w:sz w:val="24"/>
          <w:szCs w:val="24"/>
        </w:rPr>
        <w:t>Nakit ihtiyacının karşılanması amacıyla yurt dışında borsa dışı repo sözleşmelerine taraf olunabilir. Bu fonlar tarafından yurtdışında taraf olunacak repo sözleşmeleri için,  Fon Tebliği’nin 19’uncu ve 21’inci maddelerinde belirtilen hususlara ilave olarak, yurt dışında gerçekleştirilen borsa dışı repo işlemlerinde, sözleşmelere konu olan varlıkların ilgili ülkenin yetkili kuruluşunda saklanması gerekir.</w:t>
      </w:r>
    </w:p>
    <w:p w:rsidR="00435994" w:rsidRDefault="00435994" w:rsidP="00435994">
      <w:pPr>
        <w:pStyle w:val="ListParagraph"/>
        <w:numPr>
          <w:ilvl w:val="0"/>
          <w:numId w:val="30"/>
        </w:numPr>
        <w:spacing w:after="0" w:line="240" w:lineRule="auto"/>
        <w:jc w:val="both"/>
        <w:rPr>
          <w:rFonts w:ascii="Times New Roman" w:hAnsi="Times New Roman" w:cs="Times New Roman"/>
          <w:sz w:val="24"/>
          <w:szCs w:val="24"/>
        </w:rPr>
      </w:pPr>
      <w:r w:rsidRPr="007B1783">
        <w:rPr>
          <w:rFonts w:ascii="Times New Roman" w:hAnsi="Times New Roman" w:cs="Times New Roman"/>
          <w:sz w:val="24"/>
          <w:szCs w:val="24"/>
        </w:rPr>
        <w:t>Yurtdışı bankalarda mevduat/katılma hesaplarına yatırım yapılabilir.</w:t>
      </w:r>
      <w:r>
        <w:rPr>
          <w:rFonts w:ascii="Times New Roman" w:hAnsi="Times New Roman" w:cs="Times New Roman"/>
          <w:sz w:val="24"/>
          <w:szCs w:val="24"/>
        </w:rPr>
        <w:t xml:space="preserve"> </w:t>
      </w:r>
    </w:p>
    <w:p w:rsidR="00435994" w:rsidRDefault="00435994" w:rsidP="00435994">
      <w:pPr>
        <w:pStyle w:val="ListParagraph"/>
        <w:spacing w:after="0" w:line="240" w:lineRule="auto"/>
        <w:jc w:val="both"/>
        <w:rPr>
          <w:rFonts w:ascii="Times New Roman" w:hAnsi="Times New Roman" w:cs="Times New Roman"/>
          <w:sz w:val="24"/>
          <w:szCs w:val="24"/>
        </w:rPr>
      </w:pPr>
    </w:p>
    <w:p w:rsidR="00435994" w:rsidRPr="00C344F4" w:rsidRDefault="00435994" w:rsidP="00C344F4">
      <w:pPr>
        <w:spacing w:after="0" w:line="240" w:lineRule="auto"/>
        <w:jc w:val="both"/>
        <w:rPr>
          <w:rFonts w:ascii="Times New Roman" w:hAnsi="Times New Roman" w:cs="Times New Roman"/>
          <w:sz w:val="24"/>
          <w:szCs w:val="24"/>
        </w:rPr>
      </w:pPr>
    </w:p>
    <w:p w:rsidR="004552FF" w:rsidRDefault="004552FF" w:rsidP="00435994">
      <w:pPr>
        <w:pStyle w:val="ListParagraph"/>
        <w:spacing w:after="0" w:line="240" w:lineRule="auto"/>
        <w:jc w:val="both"/>
        <w:rPr>
          <w:rFonts w:ascii="Times New Roman" w:hAnsi="Times New Roman" w:cs="Times New Roman"/>
          <w:sz w:val="24"/>
          <w:szCs w:val="24"/>
        </w:rPr>
      </w:pPr>
    </w:p>
    <w:p w:rsidR="00B60598" w:rsidRDefault="009129F5" w:rsidP="00CE5BAA">
      <w:pPr>
        <w:pStyle w:val="Heading3"/>
        <w:rPr>
          <w:rFonts w:eastAsia="Times New Roman"/>
          <w:lang w:eastAsia="tr-TR"/>
        </w:rPr>
      </w:pPr>
      <w:bookmarkStart w:id="141" w:name="_Toc130312555"/>
      <w:bookmarkStart w:id="142" w:name="_Toc130312688"/>
      <w:r>
        <w:rPr>
          <w:rFonts w:eastAsia="Times New Roman"/>
          <w:lang w:eastAsia="tr-TR"/>
        </w:rPr>
        <w:t>4</w:t>
      </w:r>
      <w:r w:rsidR="00B60598" w:rsidRPr="00A60A07">
        <w:rPr>
          <w:rFonts w:eastAsia="Times New Roman"/>
          <w:lang w:eastAsia="tr-TR"/>
        </w:rPr>
        <w:t>.2.5. Ödünç İşlemleri</w:t>
      </w:r>
      <w:bookmarkEnd w:id="141"/>
      <w:bookmarkEnd w:id="142"/>
    </w:p>
    <w:p w:rsidR="004537B8" w:rsidRPr="004537B8" w:rsidRDefault="004537B8" w:rsidP="004537B8">
      <w:pPr>
        <w:rPr>
          <w:lang w:eastAsia="tr-TR"/>
        </w:rPr>
      </w:pPr>
    </w:p>
    <w:p w:rsidR="00B60598" w:rsidRDefault="009129F5" w:rsidP="007744DE">
      <w:pPr>
        <w:pStyle w:val="Heading4"/>
        <w:rPr>
          <w:i w:val="0"/>
        </w:rPr>
      </w:pPr>
      <w:r>
        <w:rPr>
          <w:i w:val="0"/>
        </w:rPr>
        <w:t>4</w:t>
      </w:r>
      <w:r w:rsidR="00B60598" w:rsidRPr="00734326">
        <w:rPr>
          <w:i w:val="0"/>
        </w:rPr>
        <w:t xml:space="preserve">.2.5.1. Fon Portföyünden Ödünç Verilmesi  </w:t>
      </w:r>
    </w:p>
    <w:p w:rsidR="004537B8" w:rsidRPr="004537B8" w:rsidRDefault="004537B8" w:rsidP="004537B8"/>
    <w:p w:rsidR="007744DE" w:rsidRPr="00FC10AE" w:rsidRDefault="004624C4" w:rsidP="004537B8">
      <w:pPr>
        <w:ind w:firstLine="708"/>
        <w:jc w:val="both"/>
        <w:rPr>
          <w:rFonts w:ascii="Times New Roman" w:hAnsi="Times New Roman" w:cs="Times New Roman"/>
          <w:sz w:val="24"/>
          <w:szCs w:val="24"/>
        </w:rPr>
      </w:pPr>
      <w:r>
        <w:rPr>
          <w:rFonts w:ascii="Times New Roman" w:hAnsi="Times New Roman" w:cs="Times New Roman"/>
          <w:sz w:val="24"/>
          <w:szCs w:val="24"/>
        </w:rPr>
        <w:t>Fon Tebliği’nin 22</w:t>
      </w:r>
      <w:r w:rsidR="008E4F8A">
        <w:rPr>
          <w:rFonts w:ascii="Times New Roman" w:hAnsi="Times New Roman" w:cs="Times New Roman"/>
          <w:sz w:val="24"/>
          <w:szCs w:val="24"/>
        </w:rPr>
        <w:t>’nci</w:t>
      </w:r>
      <w:r>
        <w:rPr>
          <w:rFonts w:ascii="Times New Roman" w:hAnsi="Times New Roman" w:cs="Times New Roman"/>
          <w:sz w:val="24"/>
          <w:szCs w:val="24"/>
        </w:rPr>
        <w:t xml:space="preserve"> maddesi çerçevesinde</w:t>
      </w:r>
      <w:r w:rsidR="00BD3AEF">
        <w:rPr>
          <w:rFonts w:ascii="Times New Roman" w:hAnsi="Times New Roman" w:cs="Times New Roman"/>
          <w:sz w:val="24"/>
          <w:szCs w:val="24"/>
        </w:rPr>
        <w:t xml:space="preserve"> yapılan ödünç işlemlerinde</w:t>
      </w:r>
      <w:r w:rsidR="007744DE" w:rsidRPr="00FC10AE">
        <w:rPr>
          <w:rFonts w:ascii="Times New Roman" w:hAnsi="Times New Roman" w:cs="Times New Roman"/>
          <w:sz w:val="24"/>
          <w:szCs w:val="24"/>
        </w:rPr>
        <w:t>;</w:t>
      </w:r>
    </w:p>
    <w:p w:rsidR="004624C4" w:rsidRDefault="004624C4" w:rsidP="0006161B">
      <w:pPr>
        <w:pStyle w:val="ListParagraph"/>
        <w:numPr>
          <w:ilvl w:val="0"/>
          <w:numId w:val="30"/>
        </w:numPr>
        <w:spacing w:after="0" w:line="240" w:lineRule="auto"/>
        <w:jc w:val="both"/>
        <w:rPr>
          <w:rFonts w:ascii="Times New Roman" w:hAnsi="Times New Roman" w:cs="Times New Roman"/>
          <w:sz w:val="24"/>
          <w:szCs w:val="24"/>
        </w:rPr>
      </w:pPr>
      <w:r w:rsidRPr="004624C4">
        <w:rPr>
          <w:rFonts w:ascii="Times New Roman" w:hAnsi="Times New Roman" w:cs="Times New Roman"/>
          <w:sz w:val="24"/>
          <w:szCs w:val="24"/>
        </w:rPr>
        <w:t>Fon portföyünde</w:t>
      </w:r>
      <w:r w:rsidR="00BD3AEF">
        <w:rPr>
          <w:rFonts w:ascii="Times New Roman" w:hAnsi="Times New Roman" w:cs="Times New Roman"/>
          <w:sz w:val="24"/>
          <w:szCs w:val="24"/>
        </w:rPr>
        <w:t xml:space="preserve"> yer alan</w:t>
      </w:r>
      <w:r w:rsidR="00453BB9">
        <w:rPr>
          <w:rFonts w:ascii="Times New Roman" w:hAnsi="Times New Roman" w:cs="Times New Roman"/>
          <w:sz w:val="24"/>
          <w:szCs w:val="24"/>
        </w:rPr>
        <w:t xml:space="preserve"> </w:t>
      </w:r>
      <w:r w:rsidR="00BD3AEF">
        <w:rPr>
          <w:rFonts w:ascii="Times New Roman" w:hAnsi="Times New Roman" w:cs="Times New Roman"/>
          <w:sz w:val="24"/>
          <w:szCs w:val="24"/>
        </w:rPr>
        <w:t xml:space="preserve">sermaye piyasası araçlarının </w:t>
      </w:r>
      <w:r w:rsidRPr="004624C4">
        <w:rPr>
          <w:rFonts w:ascii="Times New Roman" w:hAnsi="Times New Roman" w:cs="Times New Roman"/>
          <w:sz w:val="24"/>
          <w:szCs w:val="24"/>
        </w:rPr>
        <w:t>ödünç ver</w:t>
      </w:r>
      <w:r w:rsidR="00BD3AEF">
        <w:rPr>
          <w:rFonts w:ascii="Times New Roman" w:hAnsi="Times New Roman" w:cs="Times New Roman"/>
          <w:sz w:val="24"/>
          <w:szCs w:val="24"/>
        </w:rPr>
        <w:t>ilmesi halinde</w:t>
      </w:r>
      <w:r w:rsidRPr="004624C4">
        <w:rPr>
          <w:rFonts w:ascii="Times New Roman" w:hAnsi="Times New Roman" w:cs="Times New Roman"/>
          <w:sz w:val="24"/>
          <w:szCs w:val="24"/>
        </w:rPr>
        <w:t>, ödünç verilen sermaye piyasası araçlarının en az %100’ü karşılığında Kurulun ilgili düzenlemelerinde özkaynak olarak kabul edilen varlıkların fon adına Takasbank’ta bloke edilmesi</w:t>
      </w:r>
      <w:r>
        <w:rPr>
          <w:rFonts w:ascii="Times New Roman" w:hAnsi="Times New Roman" w:cs="Times New Roman"/>
          <w:sz w:val="24"/>
          <w:szCs w:val="24"/>
        </w:rPr>
        <w:t>,</w:t>
      </w:r>
      <w:r w:rsidR="002929F2">
        <w:rPr>
          <w:rFonts w:ascii="Times New Roman" w:hAnsi="Times New Roman" w:cs="Times New Roman"/>
          <w:sz w:val="24"/>
          <w:szCs w:val="24"/>
        </w:rPr>
        <w:t xml:space="preserve"> </w:t>
      </w:r>
      <w:r w:rsidR="00BD3AEF">
        <w:rPr>
          <w:rFonts w:ascii="Times New Roman" w:hAnsi="Times New Roman" w:cs="Times New Roman"/>
          <w:sz w:val="24"/>
          <w:szCs w:val="24"/>
        </w:rPr>
        <w:t>ö</w:t>
      </w:r>
      <w:r w:rsidRPr="00BD3AEF">
        <w:rPr>
          <w:rFonts w:ascii="Times New Roman" w:hAnsi="Times New Roman" w:cs="Times New Roman"/>
          <w:sz w:val="24"/>
          <w:szCs w:val="24"/>
        </w:rPr>
        <w:t>zkaynağın değerlemesine ve tamamlanmasına ilişkin olarak Kurulun ilgili düzenlemelerine uyulması,</w:t>
      </w:r>
    </w:p>
    <w:p w:rsidR="00BD3AEF" w:rsidRPr="00BD3AEF" w:rsidRDefault="00BD3AEF" w:rsidP="0006161B">
      <w:pPr>
        <w:pStyle w:val="ListParagraph"/>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Fon portföyünde yer alan</w:t>
      </w:r>
      <w:r w:rsidRPr="00BD3AEF">
        <w:rPr>
          <w:rFonts w:ascii="Times New Roman" w:hAnsi="Times New Roman" w:cs="Times New Roman"/>
          <w:sz w:val="24"/>
          <w:szCs w:val="24"/>
        </w:rPr>
        <w:t xml:space="preserve"> kıymetli madenlerin ödünç verilmesi halinde</w:t>
      </w:r>
      <w:r w:rsidR="00453BB9">
        <w:rPr>
          <w:rFonts w:ascii="Times New Roman" w:hAnsi="Times New Roman" w:cs="Times New Roman"/>
          <w:sz w:val="24"/>
          <w:szCs w:val="24"/>
        </w:rPr>
        <w:t xml:space="preserve"> </w:t>
      </w:r>
      <w:r w:rsidRPr="004624C4">
        <w:rPr>
          <w:rFonts w:ascii="Times New Roman" w:hAnsi="Times New Roman" w:cs="Times New Roman"/>
          <w:sz w:val="24"/>
          <w:szCs w:val="24"/>
        </w:rPr>
        <w:t>ödünç işlemleri ile kıymetli maden ödünç sertifikası alım-satım işlemleri</w:t>
      </w:r>
      <w:r>
        <w:rPr>
          <w:rFonts w:ascii="Times New Roman" w:hAnsi="Times New Roman" w:cs="Times New Roman"/>
          <w:sz w:val="24"/>
          <w:szCs w:val="24"/>
        </w:rPr>
        <w:t>nin</w:t>
      </w:r>
      <w:r w:rsidRPr="004624C4">
        <w:rPr>
          <w:rFonts w:ascii="Times New Roman" w:hAnsi="Times New Roman" w:cs="Times New Roman"/>
          <w:sz w:val="24"/>
          <w:szCs w:val="24"/>
        </w:rPr>
        <w:t xml:space="preserve"> ilgili piyasadaki işlem esasları </w:t>
      </w:r>
      <w:r>
        <w:rPr>
          <w:rFonts w:ascii="Times New Roman" w:hAnsi="Times New Roman" w:cs="Times New Roman"/>
          <w:sz w:val="24"/>
          <w:szCs w:val="24"/>
        </w:rPr>
        <w:t>çerçevesinde yapılması,</w:t>
      </w:r>
    </w:p>
    <w:p w:rsidR="00B60598" w:rsidRPr="00FC10AE" w:rsidRDefault="00473A98" w:rsidP="0006161B">
      <w:pPr>
        <w:pStyle w:val="ListParagraph"/>
        <w:numPr>
          <w:ilvl w:val="0"/>
          <w:numId w:val="30"/>
        </w:numPr>
        <w:jc w:val="both"/>
        <w:rPr>
          <w:rFonts w:ascii="Times New Roman" w:hAnsi="Times New Roman" w:cs="Times New Roman"/>
          <w:sz w:val="24"/>
          <w:szCs w:val="24"/>
        </w:rPr>
      </w:pPr>
      <w:r>
        <w:rPr>
          <w:rFonts w:ascii="Times New Roman" w:hAnsi="Times New Roman" w:cs="Times New Roman"/>
          <w:sz w:val="24"/>
          <w:szCs w:val="24"/>
        </w:rPr>
        <w:t>Ö</w:t>
      </w:r>
      <w:r w:rsidR="00B60598" w:rsidRPr="00FC10AE">
        <w:rPr>
          <w:rFonts w:ascii="Times New Roman" w:hAnsi="Times New Roman" w:cs="Times New Roman"/>
          <w:sz w:val="24"/>
          <w:szCs w:val="24"/>
        </w:rPr>
        <w:t>dünç v</w:t>
      </w:r>
      <w:r w:rsidR="007744DE" w:rsidRPr="00FC10AE">
        <w:rPr>
          <w:rFonts w:ascii="Times New Roman" w:hAnsi="Times New Roman" w:cs="Times New Roman"/>
          <w:sz w:val="24"/>
          <w:szCs w:val="24"/>
        </w:rPr>
        <w:t>erilen sermaye piyasası aracının</w:t>
      </w:r>
      <w:r>
        <w:rPr>
          <w:rFonts w:ascii="Times New Roman" w:hAnsi="Times New Roman" w:cs="Times New Roman"/>
          <w:sz w:val="24"/>
          <w:szCs w:val="24"/>
        </w:rPr>
        <w:t xml:space="preserve"> ve kıymetli madenin</w:t>
      </w:r>
      <w:r w:rsidR="00453BB9">
        <w:rPr>
          <w:rFonts w:ascii="Times New Roman" w:hAnsi="Times New Roman" w:cs="Times New Roman"/>
          <w:sz w:val="24"/>
          <w:szCs w:val="24"/>
        </w:rPr>
        <w:t xml:space="preserve"> </w:t>
      </w:r>
      <w:r w:rsidR="00201C5E">
        <w:rPr>
          <w:rFonts w:ascii="Times New Roman" w:hAnsi="Times New Roman" w:cs="Times New Roman"/>
          <w:sz w:val="24"/>
          <w:szCs w:val="24"/>
        </w:rPr>
        <w:t xml:space="preserve">günlük olarak </w:t>
      </w:r>
      <w:r w:rsidR="00D06174">
        <w:rPr>
          <w:rFonts w:ascii="Times New Roman" w:hAnsi="Times New Roman" w:cs="Times New Roman"/>
          <w:sz w:val="24"/>
          <w:szCs w:val="24"/>
        </w:rPr>
        <w:t xml:space="preserve">Finansal Raporlama Tebliği’nde yer alan </w:t>
      </w:r>
      <w:r w:rsidR="00B60598" w:rsidRPr="00FC10AE">
        <w:rPr>
          <w:rFonts w:ascii="Times New Roman" w:hAnsi="Times New Roman" w:cs="Times New Roman"/>
          <w:sz w:val="24"/>
          <w:szCs w:val="24"/>
        </w:rPr>
        <w:t xml:space="preserve">değerleme esasları çerçevesinde </w:t>
      </w:r>
      <w:r w:rsidR="00201C5E">
        <w:rPr>
          <w:rFonts w:ascii="Times New Roman" w:hAnsi="Times New Roman" w:cs="Times New Roman"/>
          <w:sz w:val="24"/>
          <w:szCs w:val="24"/>
        </w:rPr>
        <w:t xml:space="preserve">değerlenerek </w:t>
      </w:r>
      <w:r>
        <w:rPr>
          <w:rFonts w:ascii="Times New Roman" w:hAnsi="Times New Roman" w:cs="Times New Roman"/>
          <w:sz w:val="24"/>
          <w:szCs w:val="24"/>
        </w:rPr>
        <w:t xml:space="preserve">fonun </w:t>
      </w:r>
      <w:r w:rsidR="00B60598" w:rsidRPr="00FC10AE">
        <w:rPr>
          <w:rFonts w:ascii="Times New Roman" w:hAnsi="Times New Roman" w:cs="Times New Roman"/>
          <w:sz w:val="24"/>
          <w:szCs w:val="24"/>
        </w:rPr>
        <w:t xml:space="preserve">portföy değerine dahil edilmesi, </w:t>
      </w:r>
    </w:p>
    <w:p w:rsidR="00B60598" w:rsidRPr="00FC10AE" w:rsidRDefault="00B60598" w:rsidP="0006161B">
      <w:pPr>
        <w:pStyle w:val="ListParagraph"/>
        <w:numPr>
          <w:ilvl w:val="0"/>
          <w:numId w:val="30"/>
        </w:numPr>
        <w:jc w:val="both"/>
        <w:rPr>
          <w:rFonts w:ascii="Times New Roman" w:hAnsi="Times New Roman" w:cs="Times New Roman"/>
          <w:sz w:val="24"/>
          <w:szCs w:val="24"/>
        </w:rPr>
      </w:pPr>
      <w:r w:rsidRPr="00FC10AE">
        <w:rPr>
          <w:rFonts w:ascii="Times New Roman" w:hAnsi="Times New Roman" w:cs="Times New Roman"/>
          <w:sz w:val="24"/>
          <w:szCs w:val="24"/>
        </w:rPr>
        <w:t>Ödünç işlemi</w:t>
      </w:r>
      <w:r w:rsidR="00473A98">
        <w:rPr>
          <w:rFonts w:ascii="Times New Roman" w:hAnsi="Times New Roman" w:cs="Times New Roman"/>
          <w:sz w:val="24"/>
          <w:szCs w:val="24"/>
        </w:rPr>
        <w:t xml:space="preserve"> nedeniyle</w:t>
      </w:r>
      <w:r w:rsidRPr="00FC10AE">
        <w:rPr>
          <w:rFonts w:ascii="Times New Roman" w:hAnsi="Times New Roman" w:cs="Times New Roman"/>
          <w:sz w:val="24"/>
          <w:szCs w:val="24"/>
        </w:rPr>
        <w:t xml:space="preserve"> alınan komisyonun gü</w:t>
      </w:r>
      <w:r w:rsidR="007744DE" w:rsidRPr="00FC10AE">
        <w:rPr>
          <w:rFonts w:ascii="Times New Roman" w:hAnsi="Times New Roman" w:cs="Times New Roman"/>
          <w:sz w:val="24"/>
          <w:szCs w:val="24"/>
        </w:rPr>
        <w:t>nlük olarak gelir kaydedilmesi</w:t>
      </w:r>
    </w:p>
    <w:p w:rsidR="007744DE" w:rsidRPr="00FC10AE" w:rsidRDefault="007744DE" w:rsidP="004537B8">
      <w:pPr>
        <w:ind w:firstLine="360"/>
        <w:jc w:val="both"/>
        <w:rPr>
          <w:rFonts w:ascii="Times New Roman" w:hAnsi="Times New Roman" w:cs="Times New Roman"/>
          <w:sz w:val="24"/>
          <w:szCs w:val="24"/>
        </w:rPr>
      </w:pPr>
      <w:r w:rsidRPr="00FC10AE">
        <w:rPr>
          <w:rFonts w:ascii="Times New Roman" w:hAnsi="Times New Roman" w:cs="Times New Roman"/>
          <w:sz w:val="24"/>
          <w:szCs w:val="24"/>
        </w:rPr>
        <w:t>gerekir.</w:t>
      </w:r>
    </w:p>
    <w:p w:rsidR="00B60598" w:rsidRPr="00FC10AE" w:rsidRDefault="007744DE" w:rsidP="004537B8">
      <w:pPr>
        <w:ind w:firstLine="708"/>
        <w:jc w:val="both"/>
        <w:rPr>
          <w:rFonts w:ascii="Times New Roman" w:hAnsi="Times New Roman" w:cs="Times New Roman"/>
          <w:sz w:val="24"/>
          <w:szCs w:val="24"/>
        </w:rPr>
      </w:pPr>
      <w:r w:rsidRPr="00FC10AE">
        <w:rPr>
          <w:rFonts w:ascii="Times New Roman" w:hAnsi="Times New Roman" w:cs="Times New Roman"/>
          <w:sz w:val="24"/>
          <w:szCs w:val="24"/>
        </w:rPr>
        <w:t>Sermaye piyasası araçlarının Takasbank</w:t>
      </w:r>
      <w:r w:rsidR="00A6669D">
        <w:rPr>
          <w:rFonts w:ascii="Times New Roman" w:hAnsi="Times New Roman" w:cs="Times New Roman"/>
          <w:sz w:val="24"/>
          <w:szCs w:val="24"/>
        </w:rPr>
        <w:t xml:space="preserve"> </w:t>
      </w:r>
      <w:r w:rsidR="00201C5E">
        <w:rPr>
          <w:rFonts w:ascii="Times New Roman" w:hAnsi="Times New Roman" w:cs="Times New Roman"/>
          <w:sz w:val="24"/>
          <w:szCs w:val="24"/>
        </w:rPr>
        <w:t xml:space="preserve">ÖPSP </w:t>
      </w:r>
      <w:r w:rsidR="00473A98">
        <w:rPr>
          <w:rFonts w:ascii="Times New Roman" w:hAnsi="Times New Roman" w:cs="Times New Roman"/>
          <w:sz w:val="24"/>
          <w:szCs w:val="24"/>
        </w:rPr>
        <w:t>ya da BİAŞ</w:t>
      </w:r>
      <w:r w:rsidRPr="00FC10AE">
        <w:rPr>
          <w:rFonts w:ascii="Times New Roman" w:hAnsi="Times New Roman" w:cs="Times New Roman"/>
          <w:sz w:val="24"/>
          <w:szCs w:val="24"/>
        </w:rPr>
        <w:t xml:space="preserve"> dışında ödünç verilmesi halinde</w:t>
      </w:r>
      <w:r w:rsidR="00734326" w:rsidRPr="00FC10AE">
        <w:rPr>
          <w:rFonts w:ascii="Times New Roman" w:hAnsi="Times New Roman" w:cs="Times New Roman"/>
          <w:sz w:val="24"/>
          <w:szCs w:val="24"/>
        </w:rPr>
        <w:t xml:space="preserve"> ise</w:t>
      </w:r>
      <w:r w:rsidRPr="00FC10AE">
        <w:rPr>
          <w:rFonts w:ascii="Times New Roman" w:hAnsi="Times New Roman" w:cs="Times New Roman"/>
          <w:sz w:val="24"/>
          <w:szCs w:val="24"/>
        </w:rPr>
        <w:t xml:space="preserve"> y</w:t>
      </w:r>
      <w:r w:rsidR="00B60598" w:rsidRPr="00FC10AE">
        <w:rPr>
          <w:rFonts w:ascii="Times New Roman" w:hAnsi="Times New Roman" w:cs="Times New Roman"/>
          <w:sz w:val="24"/>
          <w:szCs w:val="24"/>
        </w:rPr>
        <w:t>ukarıda belirtilen esasla</w:t>
      </w:r>
      <w:r w:rsidRPr="00FC10AE">
        <w:rPr>
          <w:rFonts w:ascii="Times New Roman" w:hAnsi="Times New Roman" w:cs="Times New Roman"/>
          <w:sz w:val="24"/>
          <w:szCs w:val="24"/>
        </w:rPr>
        <w:t>ra ilave olarak;</w:t>
      </w:r>
    </w:p>
    <w:p w:rsidR="00B60598" w:rsidRPr="00771728" w:rsidRDefault="00B60598" w:rsidP="0006161B">
      <w:pPr>
        <w:pStyle w:val="ListParagraph"/>
        <w:numPr>
          <w:ilvl w:val="0"/>
          <w:numId w:val="31"/>
        </w:numPr>
        <w:jc w:val="both"/>
        <w:rPr>
          <w:rFonts w:ascii="Times New Roman" w:hAnsi="Times New Roman" w:cs="Times New Roman"/>
          <w:sz w:val="24"/>
          <w:szCs w:val="24"/>
        </w:rPr>
      </w:pPr>
      <w:r w:rsidRPr="00FC10AE">
        <w:rPr>
          <w:rFonts w:ascii="Times New Roman" w:hAnsi="Times New Roman" w:cs="Times New Roman"/>
          <w:sz w:val="24"/>
          <w:szCs w:val="24"/>
        </w:rPr>
        <w:t>Ödünç işlemi</w:t>
      </w:r>
      <w:r w:rsidR="00473A98">
        <w:rPr>
          <w:rFonts w:ascii="Times New Roman" w:hAnsi="Times New Roman" w:cs="Times New Roman"/>
          <w:sz w:val="24"/>
          <w:szCs w:val="24"/>
        </w:rPr>
        <w:t xml:space="preserve"> nedeniyle</w:t>
      </w:r>
      <w:r w:rsidR="00453BB9">
        <w:rPr>
          <w:rFonts w:ascii="Times New Roman" w:hAnsi="Times New Roman" w:cs="Times New Roman"/>
          <w:sz w:val="24"/>
          <w:szCs w:val="24"/>
        </w:rPr>
        <w:t xml:space="preserve"> </w:t>
      </w:r>
      <w:r w:rsidRPr="00FC10AE">
        <w:rPr>
          <w:rFonts w:ascii="Times New Roman" w:hAnsi="Times New Roman" w:cs="Times New Roman"/>
          <w:sz w:val="24"/>
          <w:szCs w:val="24"/>
        </w:rPr>
        <w:t xml:space="preserve">alınan </w:t>
      </w:r>
      <w:r w:rsidRPr="00771728">
        <w:rPr>
          <w:rFonts w:ascii="Times New Roman" w:hAnsi="Times New Roman" w:cs="Times New Roman"/>
          <w:sz w:val="24"/>
          <w:szCs w:val="24"/>
        </w:rPr>
        <w:t>teminatların</w:t>
      </w:r>
      <w:r w:rsidR="00473A98" w:rsidRPr="00771728">
        <w:rPr>
          <w:rFonts w:ascii="Times New Roman" w:hAnsi="Times New Roman" w:cs="Times New Roman"/>
          <w:sz w:val="24"/>
          <w:szCs w:val="24"/>
        </w:rPr>
        <w:t xml:space="preserve">, </w:t>
      </w:r>
      <w:r w:rsidR="00771728" w:rsidRPr="00771728">
        <w:rPr>
          <w:rFonts w:ascii="Times New Roman" w:hAnsi="Times New Roman" w:cs="Times New Roman"/>
          <w:sz w:val="24"/>
          <w:szCs w:val="24"/>
        </w:rPr>
        <w:t xml:space="preserve">yukarıdaki </w:t>
      </w:r>
      <w:r w:rsidR="00473A98" w:rsidRPr="00771728">
        <w:rPr>
          <w:rFonts w:ascii="Times New Roman" w:hAnsi="Times New Roman" w:cs="Times New Roman"/>
          <w:sz w:val="24"/>
          <w:szCs w:val="24"/>
        </w:rPr>
        <w:t>(d) bendi saklı kalmak kaydıyla,</w:t>
      </w:r>
      <w:r w:rsidRPr="00771728">
        <w:rPr>
          <w:rFonts w:ascii="Times New Roman" w:hAnsi="Times New Roman" w:cs="Times New Roman"/>
          <w:sz w:val="24"/>
          <w:szCs w:val="24"/>
        </w:rPr>
        <w:t xml:space="preserve"> portföye dahil edilmeden ve değerlemeye tabi tutulmadan nazım hesaplarda izlenmesi, </w:t>
      </w:r>
    </w:p>
    <w:p w:rsidR="00B60598" w:rsidRPr="00771728" w:rsidRDefault="00B3209B" w:rsidP="0006161B">
      <w:pPr>
        <w:pStyle w:val="ListParagraph"/>
        <w:numPr>
          <w:ilvl w:val="0"/>
          <w:numId w:val="31"/>
        </w:numPr>
        <w:jc w:val="both"/>
        <w:rPr>
          <w:rFonts w:ascii="Times New Roman" w:hAnsi="Times New Roman" w:cs="Times New Roman"/>
          <w:sz w:val="24"/>
          <w:szCs w:val="24"/>
        </w:rPr>
      </w:pPr>
      <w:r w:rsidRPr="00771728">
        <w:rPr>
          <w:rFonts w:ascii="Times New Roman" w:hAnsi="Times New Roman" w:cs="Times New Roman"/>
          <w:sz w:val="24"/>
          <w:szCs w:val="24"/>
        </w:rPr>
        <w:t>İşleme</w:t>
      </w:r>
      <w:r w:rsidR="00B60598" w:rsidRPr="00771728">
        <w:rPr>
          <w:rFonts w:ascii="Times New Roman" w:hAnsi="Times New Roman" w:cs="Times New Roman"/>
          <w:sz w:val="24"/>
          <w:szCs w:val="24"/>
        </w:rPr>
        <w:t xml:space="preserve"> ilişkin olarak portföy saklayıcısına gerekli bildirimlerin yapılması, </w:t>
      </w:r>
    </w:p>
    <w:p w:rsidR="00DB7A4F" w:rsidRPr="00771728" w:rsidRDefault="00DB7A4F" w:rsidP="0006161B">
      <w:pPr>
        <w:pStyle w:val="ListParagraph"/>
        <w:numPr>
          <w:ilvl w:val="0"/>
          <w:numId w:val="31"/>
        </w:numPr>
        <w:jc w:val="both"/>
        <w:rPr>
          <w:rFonts w:ascii="Times New Roman" w:hAnsi="Times New Roman" w:cs="Times New Roman"/>
          <w:sz w:val="24"/>
          <w:szCs w:val="24"/>
        </w:rPr>
      </w:pPr>
      <w:r w:rsidRPr="00771728">
        <w:rPr>
          <w:rFonts w:ascii="Times New Roman" w:hAnsi="Times New Roman" w:cs="Times New Roman"/>
          <w:sz w:val="24"/>
          <w:szCs w:val="24"/>
        </w:rPr>
        <w:t xml:space="preserve">Nakit teminat kabul edilmesi halinde, </w:t>
      </w:r>
    </w:p>
    <w:p w:rsidR="00DB7A4F" w:rsidRDefault="00DB7A4F" w:rsidP="00DB7A4F">
      <w:pPr>
        <w:pStyle w:val="ListParagraph"/>
        <w:jc w:val="both"/>
        <w:rPr>
          <w:rFonts w:ascii="Times New Roman" w:hAnsi="Times New Roman" w:cs="Times New Roman"/>
          <w:sz w:val="24"/>
          <w:szCs w:val="24"/>
        </w:rPr>
      </w:pPr>
      <w:r w:rsidRPr="00771728">
        <w:rPr>
          <w:rFonts w:ascii="Times New Roman" w:hAnsi="Times New Roman" w:cs="Times New Roman"/>
          <w:sz w:val="24"/>
          <w:szCs w:val="24"/>
        </w:rPr>
        <w:t xml:space="preserve">i) </w:t>
      </w:r>
      <w:r w:rsidR="00B60598" w:rsidRPr="00771728">
        <w:rPr>
          <w:rFonts w:ascii="Times New Roman" w:hAnsi="Times New Roman" w:cs="Times New Roman"/>
          <w:sz w:val="24"/>
          <w:szCs w:val="24"/>
        </w:rPr>
        <w:t>Ödünç işlemi</w:t>
      </w:r>
      <w:r w:rsidR="00473A98" w:rsidRPr="00771728">
        <w:rPr>
          <w:rFonts w:ascii="Times New Roman" w:hAnsi="Times New Roman" w:cs="Times New Roman"/>
          <w:sz w:val="24"/>
          <w:szCs w:val="24"/>
        </w:rPr>
        <w:t xml:space="preserve"> nedeniyle</w:t>
      </w:r>
      <w:r w:rsidR="003B1E27" w:rsidRPr="00771728">
        <w:rPr>
          <w:rFonts w:ascii="Times New Roman" w:hAnsi="Times New Roman" w:cs="Times New Roman"/>
          <w:sz w:val="24"/>
          <w:szCs w:val="24"/>
        </w:rPr>
        <w:t xml:space="preserve"> </w:t>
      </w:r>
      <w:r w:rsidR="00B60598" w:rsidRPr="00771728">
        <w:rPr>
          <w:rFonts w:ascii="Times New Roman" w:hAnsi="Times New Roman" w:cs="Times New Roman"/>
          <w:sz w:val="24"/>
          <w:szCs w:val="24"/>
        </w:rPr>
        <w:t>alınan nakit teminatın ödünç veren veya alan</w:t>
      </w:r>
      <w:r w:rsidR="00B60598" w:rsidRPr="00FC10AE">
        <w:rPr>
          <w:rFonts w:ascii="Times New Roman" w:hAnsi="Times New Roman" w:cs="Times New Roman"/>
          <w:sz w:val="24"/>
          <w:szCs w:val="24"/>
        </w:rPr>
        <w:t xml:space="preserve"> adına nemalandırılması mümkün olup bu hususun taraflar arasında kararlaştırılması,</w:t>
      </w:r>
    </w:p>
    <w:p w:rsidR="00B60598" w:rsidRPr="00FC10AE" w:rsidRDefault="00DB7A4F" w:rsidP="00DB7A4F">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ii) </w:t>
      </w:r>
      <w:r w:rsidR="00B60598" w:rsidRPr="00FC10AE">
        <w:rPr>
          <w:rFonts w:ascii="Times New Roman" w:hAnsi="Times New Roman" w:cs="Times New Roman"/>
          <w:sz w:val="24"/>
          <w:szCs w:val="24"/>
        </w:rPr>
        <w:t>Nakit teminat ödünç veren adına nemalandırılacaksa BİAŞ Repo Ters Repo Pazarında veya Takasbank Para Piyasasında nemalandırılması, nemalandırma amacıyla yapılan işlemlerin fon koduyla yapılarak portföye dahil edilmesi, teminat olarak alınan nakit tutarının ise değerlenmeden diğe</w:t>
      </w:r>
      <w:r w:rsidR="007744DE" w:rsidRPr="00FC10AE">
        <w:rPr>
          <w:rFonts w:ascii="Times New Roman" w:hAnsi="Times New Roman" w:cs="Times New Roman"/>
          <w:sz w:val="24"/>
          <w:szCs w:val="24"/>
        </w:rPr>
        <w:t>r borçlar kalemine kaydedilmesi</w:t>
      </w:r>
      <w:r w:rsidR="00B60598" w:rsidRPr="00FC10AE">
        <w:rPr>
          <w:rFonts w:ascii="Times New Roman" w:hAnsi="Times New Roman" w:cs="Times New Roman"/>
          <w:sz w:val="24"/>
          <w:szCs w:val="24"/>
        </w:rPr>
        <w:t xml:space="preserve"> (Örneğin ödünç veren ABC fonu nakit teminat olarak 100.000 TL almış ve bu tutarı kendi adına nemalandır</w:t>
      </w:r>
      <w:r w:rsidR="00201C5E">
        <w:rPr>
          <w:rFonts w:ascii="Times New Roman" w:hAnsi="Times New Roman" w:cs="Times New Roman"/>
          <w:sz w:val="24"/>
          <w:szCs w:val="24"/>
        </w:rPr>
        <w:t>mıştır</w:t>
      </w:r>
      <w:r w:rsidR="00B60598" w:rsidRPr="00FC10AE">
        <w:rPr>
          <w:rFonts w:ascii="Times New Roman" w:hAnsi="Times New Roman" w:cs="Times New Roman"/>
          <w:sz w:val="24"/>
          <w:szCs w:val="24"/>
        </w:rPr>
        <w:t xml:space="preserve">. Bu durumda 100.000 TL’nin değerlenmiş </w:t>
      </w:r>
      <w:r w:rsidR="00201C5E">
        <w:rPr>
          <w:rFonts w:ascii="Times New Roman" w:hAnsi="Times New Roman" w:cs="Times New Roman"/>
          <w:sz w:val="24"/>
          <w:szCs w:val="24"/>
        </w:rPr>
        <w:t>tutarının</w:t>
      </w:r>
      <w:r w:rsidR="00453BB9">
        <w:rPr>
          <w:rFonts w:ascii="Times New Roman" w:hAnsi="Times New Roman" w:cs="Times New Roman"/>
          <w:sz w:val="24"/>
          <w:szCs w:val="24"/>
        </w:rPr>
        <w:t xml:space="preserve"> </w:t>
      </w:r>
      <w:r w:rsidR="00B60598" w:rsidRPr="00FC10AE">
        <w:rPr>
          <w:rFonts w:ascii="Times New Roman" w:hAnsi="Times New Roman" w:cs="Times New Roman"/>
          <w:sz w:val="24"/>
          <w:szCs w:val="24"/>
        </w:rPr>
        <w:t xml:space="preserve">portföy </w:t>
      </w:r>
      <w:r w:rsidR="008447AB">
        <w:rPr>
          <w:rFonts w:ascii="Times New Roman" w:hAnsi="Times New Roman" w:cs="Times New Roman"/>
          <w:sz w:val="24"/>
          <w:szCs w:val="24"/>
        </w:rPr>
        <w:t xml:space="preserve">değeri </w:t>
      </w:r>
      <w:r w:rsidR="00B60598" w:rsidRPr="00FC10AE">
        <w:rPr>
          <w:rFonts w:ascii="Times New Roman" w:hAnsi="Times New Roman" w:cs="Times New Roman"/>
          <w:sz w:val="24"/>
          <w:szCs w:val="24"/>
        </w:rPr>
        <w:t xml:space="preserve">tablosunda yer alması, alınan nakit teminatın ise değerlemeye tabi tutulmadan 100.000 TL olarak diğer borçlar kaleminde izlenmesi gerekir.) </w:t>
      </w:r>
    </w:p>
    <w:p w:rsidR="00B60598" w:rsidRDefault="007744DE" w:rsidP="004537B8">
      <w:pPr>
        <w:ind w:firstLine="708"/>
        <w:jc w:val="both"/>
        <w:rPr>
          <w:rFonts w:ascii="Times New Roman" w:hAnsi="Times New Roman" w:cs="Times New Roman"/>
          <w:sz w:val="24"/>
          <w:szCs w:val="24"/>
        </w:rPr>
      </w:pPr>
      <w:r w:rsidRPr="00FC10AE">
        <w:rPr>
          <w:rFonts w:ascii="Times New Roman" w:hAnsi="Times New Roman" w:cs="Times New Roman"/>
          <w:sz w:val="24"/>
          <w:szCs w:val="24"/>
        </w:rPr>
        <w:t>gereklidir.</w:t>
      </w:r>
    </w:p>
    <w:p w:rsidR="000E6E43" w:rsidRDefault="000E6E43" w:rsidP="000E6E43">
      <w:pPr>
        <w:jc w:val="both"/>
        <w:rPr>
          <w:rFonts w:ascii="Times New Roman" w:hAnsi="Times New Roman" w:cs="Times New Roman"/>
          <w:sz w:val="24"/>
          <w:szCs w:val="24"/>
        </w:rPr>
      </w:pPr>
    </w:p>
    <w:p w:rsidR="00B60598" w:rsidRDefault="009129F5" w:rsidP="00CE5BAA">
      <w:pPr>
        <w:pStyle w:val="Heading4"/>
        <w:rPr>
          <w:i w:val="0"/>
        </w:rPr>
      </w:pPr>
      <w:r>
        <w:rPr>
          <w:i w:val="0"/>
        </w:rPr>
        <w:t>4</w:t>
      </w:r>
      <w:r w:rsidR="00F65CDB" w:rsidRPr="00734326">
        <w:rPr>
          <w:i w:val="0"/>
        </w:rPr>
        <w:t xml:space="preserve">.2.5.2. </w:t>
      </w:r>
      <w:r w:rsidR="00B60598" w:rsidRPr="00734326">
        <w:rPr>
          <w:i w:val="0"/>
        </w:rPr>
        <w:t xml:space="preserve">Fon Portföyüne Ödünç Alınması </w:t>
      </w:r>
    </w:p>
    <w:p w:rsidR="004537B8" w:rsidRPr="004537B8" w:rsidRDefault="004537B8" w:rsidP="004537B8"/>
    <w:p w:rsidR="00E25B64" w:rsidRDefault="00734326" w:rsidP="004537B8">
      <w:pPr>
        <w:ind w:firstLine="708"/>
        <w:jc w:val="both"/>
        <w:rPr>
          <w:rFonts w:ascii="Times New Roman" w:hAnsi="Times New Roman" w:cs="Times New Roman"/>
          <w:sz w:val="24"/>
          <w:szCs w:val="24"/>
        </w:rPr>
      </w:pPr>
      <w:r w:rsidRPr="00FC10AE">
        <w:rPr>
          <w:rFonts w:ascii="Times New Roman" w:hAnsi="Times New Roman" w:cs="Times New Roman"/>
          <w:sz w:val="24"/>
          <w:szCs w:val="24"/>
        </w:rPr>
        <w:t xml:space="preserve">Ödünç alma işlemleri sadece serbest fonlar tarafından aşağıda yer alan esaslar çerçevesinde gerçekleştirilebilir. </w:t>
      </w:r>
    </w:p>
    <w:p w:rsidR="00734326" w:rsidRPr="00FC10AE" w:rsidRDefault="00E25B64" w:rsidP="004537B8">
      <w:pPr>
        <w:ind w:firstLine="708"/>
        <w:jc w:val="both"/>
        <w:rPr>
          <w:rFonts w:ascii="Times New Roman" w:hAnsi="Times New Roman" w:cs="Times New Roman"/>
          <w:sz w:val="24"/>
          <w:szCs w:val="24"/>
        </w:rPr>
      </w:pPr>
      <w:r>
        <w:rPr>
          <w:rFonts w:ascii="Times New Roman" w:hAnsi="Times New Roman" w:cs="Times New Roman"/>
          <w:sz w:val="24"/>
          <w:szCs w:val="24"/>
        </w:rPr>
        <w:t>Ödünç</w:t>
      </w:r>
      <w:r w:rsidR="00453BB9">
        <w:rPr>
          <w:rFonts w:ascii="Times New Roman" w:hAnsi="Times New Roman" w:cs="Times New Roman"/>
          <w:sz w:val="24"/>
          <w:szCs w:val="24"/>
        </w:rPr>
        <w:t xml:space="preserve"> </w:t>
      </w:r>
      <w:r>
        <w:rPr>
          <w:rFonts w:ascii="Times New Roman" w:hAnsi="Times New Roman" w:cs="Times New Roman"/>
          <w:sz w:val="24"/>
          <w:szCs w:val="24"/>
        </w:rPr>
        <w:t xml:space="preserve">alma </w:t>
      </w:r>
      <w:r w:rsidR="00734326" w:rsidRPr="00FC10AE">
        <w:rPr>
          <w:rFonts w:ascii="Times New Roman" w:hAnsi="Times New Roman" w:cs="Times New Roman"/>
          <w:sz w:val="24"/>
          <w:szCs w:val="24"/>
        </w:rPr>
        <w:t>işlem</w:t>
      </w:r>
      <w:r>
        <w:rPr>
          <w:rFonts w:ascii="Times New Roman" w:hAnsi="Times New Roman" w:cs="Times New Roman"/>
          <w:sz w:val="24"/>
          <w:szCs w:val="24"/>
        </w:rPr>
        <w:t>inin</w:t>
      </w:r>
      <w:r w:rsidR="009612E3">
        <w:rPr>
          <w:rFonts w:ascii="Times New Roman" w:hAnsi="Times New Roman" w:cs="Times New Roman"/>
          <w:sz w:val="24"/>
          <w:szCs w:val="24"/>
        </w:rPr>
        <w:t xml:space="preserve"> </w:t>
      </w:r>
      <w:r w:rsidR="00734326" w:rsidRPr="00FC10AE">
        <w:rPr>
          <w:rFonts w:ascii="Times New Roman" w:hAnsi="Times New Roman" w:cs="Times New Roman"/>
          <w:sz w:val="24"/>
          <w:szCs w:val="24"/>
        </w:rPr>
        <w:t>Takasbank</w:t>
      </w:r>
      <w:r w:rsidR="003B1E27">
        <w:rPr>
          <w:rFonts w:ascii="Times New Roman" w:hAnsi="Times New Roman" w:cs="Times New Roman"/>
          <w:sz w:val="24"/>
          <w:szCs w:val="24"/>
        </w:rPr>
        <w:t xml:space="preserve"> </w:t>
      </w:r>
      <w:r w:rsidR="00201C5E">
        <w:rPr>
          <w:rFonts w:ascii="Times New Roman" w:hAnsi="Times New Roman" w:cs="Times New Roman"/>
          <w:sz w:val="24"/>
          <w:szCs w:val="24"/>
        </w:rPr>
        <w:t xml:space="preserve">ÖPSP </w:t>
      </w:r>
      <w:r w:rsidR="00734326" w:rsidRPr="00FC10AE">
        <w:rPr>
          <w:rFonts w:ascii="Times New Roman" w:hAnsi="Times New Roman" w:cs="Times New Roman"/>
          <w:sz w:val="24"/>
          <w:szCs w:val="24"/>
        </w:rPr>
        <w:t>kanalı ile gerçekleştirilmesi halinde;</w:t>
      </w:r>
    </w:p>
    <w:p w:rsidR="00B60598" w:rsidRPr="006614FE" w:rsidRDefault="00B60598" w:rsidP="0006161B">
      <w:pPr>
        <w:pStyle w:val="ListParagraph"/>
        <w:numPr>
          <w:ilvl w:val="0"/>
          <w:numId w:val="32"/>
        </w:numPr>
        <w:jc w:val="both"/>
        <w:rPr>
          <w:rFonts w:ascii="Times New Roman" w:hAnsi="Times New Roman" w:cs="Times New Roman"/>
          <w:sz w:val="24"/>
          <w:szCs w:val="24"/>
        </w:rPr>
      </w:pPr>
      <w:r w:rsidRPr="006614FE">
        <w:rPr>
          <w:rFonts w:ascii="Times New Roman" w:hAnsi="Times New Roman" w:cs="Times New Roman"/>
          <w:sz w:val="24"/>
          <w:szCs w:val="24"/>
        </w:rPr>
        <w:t xml:space="preserve">Ödünç alınan </w:t>
      </w:r>
      <w:r w:rsidR="00F65CDB" w:rsidRPr="006614FE">
        <w:rPr>
          <w:rFonts w:ascii="Times New Roman" w:hAnsi="Times New Roman" w:cs="Times New Roman"/>
          <w:sz w:val="24"/>
          <w:szCs w:val="24"/>
        </w:rPr>
        <w:t>sermaye piyasası araçlarının</w:t>
      </w:r>
      <w:r w:rsidR="00453BB9">
        <w:rPr>
          <w:rFonts w:ascii="Times New Roman" w:hAnsi="Times New Roman" w:cs="Times New Roman"/>
          <w:sz w:val="24"/>
          <w:szCs w:val="24"/>
        </w:rPr>
        <w:t xml:space="preserve"> </w:t>
      </w:r>
      <w:r w:rsidR="00E600E2" w:rsidRPr="006614FE">
        <w:rPr>
          <w:rFonts w:ascii="Times New Roman" w:hAnsi="Times New Roman" w:cs="Times New Roman"/>
          <w:sz w:val="24"/>
          <w:szCs w:val="24"/>
        </w:rPr>
        <w:t xml:space="preserve">Finansal Raporlama Tebliği’nde yer alan </w:t>
      </w:r>
      <w:r w:rsidRPr="006614FE">
        <w:rPr>
          <w:rFonts w:ascii="Times New Roman" w:hAnsi="Times New Roman" w:cs="Times New Roman"/>
          <w:sz w:val="24"/>
          <w:szCs w:val="24"/>
        </w:rPr>
        <w:t>değerleme ilkeleri çerçevesinde</w:t>
      </w:r>
      <w:r w:rsidR="00E600E2" w:rsidRPr="006614FE">
        <w:rPr>
          <w:rFonts w:ascii="Times New Roman" w:hAnsi="Times New Roman" w:cs="Times New Roman"/>
          <w:sz w:val="24"/>
          <w:szCs w:val="24"/>
        </w:rPr>
        <w:t xml:space="preserve"> değerlenerek</w:t>
      </w:r>
      <w:r w:rsidR="00453BB9">
        <w:rPr>
          <w:rFonts w:ascii="Times New Roman" w:hAnsi="Times New Roman" w:cs="Times New Roman"/>
          <w:sz w:val="24"/>
          <w:szCs w:val="24"/>
        </w:rPr>
        <w:t xml:space="preserve"> </w:t>
      </w:r>
      <w:r w:rsidR="00E25B64" w:rsidRPr="006614FE">
        <w:rPr>
          <w:rFonts w:ascii="Times New Roman" w:hAnsi="Times New Roman" w:cs="Times New Roman"/>
          <w:sz w:val="24"/>
          <w:szCs w:val="24"/>
        </w:rPr>
        <w:t>“</w:t>
      </w:r>
      <w:r w:rsidRPr="006614FE">
        <w:rPr>
          <w:rFonts w:ascii="Times New Roman" w:hAnsi="Times New Roman" w:cs="Times New Roman"/>
          <w:sz w:val="24"/>
          <w:szCs w:val="24"/>
        </w:rPr>
        <w:t>diğer borçlar</w:t>
      </w:r>
      <w:r w:rsidR="00E25B64" w:rsidRPr="006614FE">
        <w:rPr>
          <w:rFonts w:ascii="Times New Roman" w:hAnsi="Times New Roman" w:cs="Times New Roman"/>
          <w:sz w:val="24"/>
          <w:szCs w:val="24"/>
        </w:rPr>
        <w:t>”</w:t>
      </w:r>
      <w:r w:rsidR="00453BB9">
        <w:rPr>
          <w:rFonts w:ascii="Times New Roman" w:hAnsi="Times New Roman" w:cs="Times New Roman"/>
          <w:sz w:val="24"/>
          <w:szCs w:val="24"/>
        </w:rPr>
        <w:t xml:space="preserve"> </w:t>
      </w:r>
      <w:r w:rsidR="00E25B64" w:rsidRPr="006614FE">
        <w:rPr>
          <w:rFonts w:ascii="Times New Roman" w:hAnsi="Times New Roman" w:cs="Times New Roman"/>
          <w:sz w:val="24"/>
          <w:szCs w:val="24"/>
        </w:rPr>
        <w:t>kaleminde</w:t>
      </w:r>
      <w:r w:rsidRPr="006614FE">
        <w:rPr>
          <w:rFonts w:ascii="Times New Roman" w:hAnsi="Times New Roman" w:cs="Times New Roman"/>
          <w:sz w:val="24"/>
          <w:szCs w:val="24"/>
        </w:rPr>
        <w:t xml:space="preserve"> izlenmesi</w:t>
      </w:r>
      <w:r w:rsidR="00E600E2" w:rsidRPr="006614FE">
        <w:rPr>
          <w:rFonts w:ascii="Times New Roman" w:hAnsi="Times New Roman" w:cs="Times New Roman"/>
          <w:sz w:val="24"/>
          <w:szCs w:val="24"/>
        </w:rPr>
        <w:t xml:space="preserve"> ve</w:t>
      </w:r>
      <w:r w:rsidR="00453BB9">
        <w:rPr>
          <w:rFonts w:ascii="Times New Roman" w:hAnsi="Times New Roman" w:cs="Times New Roman"/>
          <w:sz w:val="24"/>
          <w:szCs w:val="24"/>
        </w:rPr>
        <w:t xml:space="preserve"> </w:t>
      </w:r>
      <w:r w:rsidRPr="006614FE">
        <w:rPr>
          <w:rFonts w:ascii="Times New Roman" w:hAnsi="Times New Roman" w:cs="Times New Roman"/>
          <w:sz w:val="24"/>
          <w:szCs w:val="24"/>
        </w:rPr>
        <w:t xml:space="preserve">portföyden çıkarılana kadar portföy değerine dahil edilmesi, </w:t>
      </w:r>
    </w:p>
    <w:p w:rsidR="00B60598" w:rsidRPr="00FC10AE" w:rsidRDefault="00B60598" w:rsidP="0006161B">
      <w:pPr>
        <w:pStyle w:val="ListParagraph"/>
        <w:numPr>
          <w:ilvl w:val="0"/>
          <w:numId w:val="32"/>
        </w:numPr>
        <w:jc w:val="both"/>
        <w:rPr>
          <w:rFonts w:ascii="Times New Roman" w:hAnsi="Times New Roman" w:cs="Times New Roman"/>
          <w:sz w:val="24"/>
          <w:szCs w:val="24"/>
        </w:rPr>
      </w:pPr>
      <w:r w:rsidRPr="00FC10AE">
        <w:rPr>
          <w:rFonts w:ascii="Times New Roman" w:hAnsi="Times New Roman" w:cs="Times New Roman"/>
          <w:sz w:val="24"/>
          <w:szCs w:val="24"/>
        </w:rPr>
        <w:t xml:space="preserve">Ödünç işlemine karşılık verilen </w:t>
      </w:r>
      <w:r w:rsidR="00F65CDB" w:rsidRPr="00FC10AE">
        <w:rPr>
          <w:rFonts w:ascii="Times New Roman" w:hAnsi="Times New Roman" w:cs="Times New Roman"/>
          <w:sz w:val="24"/>
          <w:szCs w:val="24"/>
        </w:rPr>
        <w:t xml:space="preserve">nakit dışı </w:t>
      </w:r>
      <w:r w:rsidRPr="00FC10AE">
        <w:rPr>
          <w:rFonts w:ascii="Times New Roman" w:hAnsi="Times New Roman" w:cs="Times New Roman"/>
          <w:sz w:val="24"/>
          <w:szCs w:val="24"/>
        </w:rPr>
        <w:t>teminatların portföyden çık</w:t>
      </w:r>
      <w:r w:rsidR="00201C5E">
        <w:rPr>
          <w:rFonts w:ascii="Times New Roman" w:hAnsi="Times New Roman" w:cs="Times New Roman"/>
          <w:sz w:val="24"/>
          <w:szCs w:val="24"/>
        </w:rPr>
        <w:t>arıl</w:t>
      </w:r>
      <w:r w:rsidRPr="00FC10AE">
        <w:rPr>
          <w:rFonts w:ascii="Times New Roman" w:hAnsi="Times New Roman" w:cs="Times New Roman"/>
          <w:sz w:val="24"/>
          <w:szCs w:val="24"/>
        </w:rPr>
        <w:t xml:space="preserve">mamış gibi </w:t>
      </w:r>
      <w:r w:rsidR="00D06174">
        <w:rPr>
          <w:rFonts w:ascii="Times New Roman" w:hAnsi="Times New Roman" w:cs="Times New Roman"/>
          <w:sz w:val="24"/>
          <w:szCs w:val="24"/>
        </w:rPr>
        <w:t xml:space="preserve">Finansal Raporlama Tebliği’nde yer alan </w:t>
      </w:r>
      <w:r w:rsidRPr="00FC10AE">
        <w:rPr>
          <w:rFonts w:ascii="Times New Roman" w:hAnsi="Times New Roman" w:cs="Times New Roman"/>
          <w:sz w:val="24"/>
          <w:szCs w:val="24"/>
        </w:rPr>
        <w:t xml:space="preserve">değerleme esasları çerçevesinde </w:t>
      </w:r>
      <w:r w:rsidR="00201C5E">
        <w:rPr>
          <w:rFonts w:ascii="Times New Roman" w:hAnsi="Times New Roman" w:cs="Times New Roman"/>
          <w:sz w:val="24"/>
          <w:szCs w:val="24"/>
        </w:rPr>
        <w:t xml:space="preserve">değerlenerek </w:t>
      </w:r>
      <w:r w:rsidRPr="00FC10AE">
        <w:rPr>
          <w:rFonts w:ascii="Times New Roman" w:hAnsi="Times New Roman" w:cs="Times New Roman"/>
          <w:sz w:val="24"/>
          <w:szCs w:val="24"/>
        </w:rPr>
        <w:t xml:space="preserve">portföy değerine dahil edilmesi, </w:t>
      </w:r>
    </w:p>
    <w:p w:rsidR="00B60598" w:rsidRPr="00FC10AE" w:rsidRDefault="00B60598" w:rsidP="0006161B">
      <w:pPr>
        <w:pStyle w:val="ListParagraph"/>
        <w:numPr>
          <w:ilvl w:val="0"/>
          <w:numId w:val="32"/>
        </w:numPr>
        <w:jc w:val="both"/>
        <w:rPr>
          <w:rFonts w:ascii="Times New Roman" w:hAnsi="Times New Roman" w:cs="Times New Roman"/>
          <w:sz w:val="24"/>
          <w:szCs w:val="24"/>
        </w:rPr>
      </w:pPr>
      <w:r w:rsidRPr="00FC10AE">
        <w:rPr>
          <w:rFonts w:ascii="Times New Roman" w:hAnsi="Times New Roman" w:cs="Times New Roman"/>
          <w:sz w:val="24"/>
          <w:szCs w:val="24"/>
        </w:rPr>
        <w:t xml:space="preserve">Ödünç işlemine karşılık verilen nakit teminatın </w:t>
      </w:r>
      <w:r w:rsidR="00E25B64">
        <w:rPr>
          <w:rFonts w:ascii="Times New Roman" w:hAnsi="Times New Roman" w:cs="Times New Roman"/>
          <w:sz w:val="24"/>
          <w:szCs w:val="24"/>
        </w:rPr>
        <w:t>“</w:t>
      </w:r>
      <w:r w:rsidRPr="00FC10AE">
        <w:rPr>
          <w:rFonts w:ascii="Times New Roman" w:hAnsi="Times New Roman" w:cs="Times New Roman"/>
          <w:sz w:val="24"/>
          <w:szCs w:val="24"/>
        </w:rPr>
        <w:t>diğer alacaklar</w:t>
      </w:r>
      <w:r w:rsidR="00E25B64">
        <w:rPr>
          <w:rFonts w:ascii="Times New Roman" w:hAnsi="Times New Roman" w:cs="Times New Roman"/>
          <w:sz w:val="24"/>
          <w:szCs w:val="24"/>
        </w:rPr>
        <w:t>”</w:t>
      </w:r>
      <w:r w:rsidRPr="00FC10AE">
        <w:rPr>
          <w:rFonts w:ascii="Times New Roman" w:hAnsi="Times New Roman" w:cs="Times New Roman"/>
          <w:sz w:val="24"/>
          <w:szCs w:val="24"/>
        </w:rPr>
        <w:t xml:space="preserve"> kaleminde izlenmeye devam e</w:t>
      </w:r>
      <w:r w:rsidR="00734326" w:rsidRPr="00FC10AE">
        <w:rPr>
          <w:rFonts w:ascii="Times New Roman" w:hAnsi="Times New Roman" w:cs="Times New Roman"/>
          <w:sz w:val="24"/>
          <w:szCs w:val="24"/>
        </w:rPr>
        <w:t>dilmesi</w:t>
      </w:r>
    </w:p>
    <w:p w:rsidR="00734326" w:rsidRPr="00FC10AE" w:rsidRDefault="00734326" w:rsidP="004537B8">
      <w:pPr>
        <w:ind w:firstLine="708"/>
        <w:jc w:val="both"/>
        <w:rPr>
          <w:rFonts w:ascii="Times New Roman" w:hAnsi="Times New Roman" w:cs="Times New Roman"/>
          <w:sz w:val="24"/>
          <w:szCs w:val="24"/>
        </w:rPr>
      </w:pPr>
      <w:r w:rsidRPr="00FC10AE">
        <w:rPr>
          <w:rFonts w:ascii="Times New Roman" w:hAnsi="Times New Roman" w:cs="Times New Roman"/>
          <w:sz w:val="24"/>
          <w:szCs w:val="24"/>
        </w:rPr>
        <w:t>gerekir.</w:t>
      </w:r>
    </w:p>
    <w:p w:rsidR="00B60598" w:rsidRPr="00FC10AE" w:rsidRDefault="00E25B64" w:rsidP="004537B8">
      <w:pPr>
        <w:ind w:firstLine="708"/>
        <w:jc w:val="both"/>
        <w:rPr>
          <w:rFonts w:ascii="Times New Roman" w:hAnsi="Times New Roman" w:cs="Times New Roman"/>
          <w:sz w:val="24"/>
          <w:szCs w:val="24"/>
        </w:rPr>
      </w:pPr>
      <w:r>
        <w:rPr>
          <w:rFonts w:ascii="Times New Roman" w:hAnsi="Times New Roman" w:cs="Times New Roman"/>
          <w:sz w:val="24"/>
          <w:szCs w:val="24"/>
        </w:rPr>
        <w:t xml:space="preserve">Ödünç alma işleminin </w:t>
      </w:r>
      <w:r w:rsidR="00734326" w:rsidRPr="00FC10AE">
        <w:rPr>
          <w:rFonts w:ascii="Times New Roman" w:hAnsi="Times New Roman" w:cs="Times New Roman"/>
          <w:sz w:val="24"/>
          <w:szCs w:val="24"/>
        </w:rPr>
        <w:t>Takasbank</w:t>
      </w:r>
      <w:r w:rsidR="003B1E27">
        <w:rPr>
          <w:rFonts w:ascii="Times New Roman" w:hAnsi="Times New Roman" w:cs="Times New Roman"/>
          <w:sz w:val="24"/>
          <w:szCs w:val="24"/>
        </w:rPr>
        <w:t xml:space="preserve"> </w:t>
      </w:r>
      <w:r w:rsidR="00201C5E">
        <w:rPr>
          <w:rFonts w:ascii="Times New Roman" w:hAnsi="Times New Roman" w:cs="Times New Roman"/>
          <w:sz w:val="24"/>
          <w:szCs w:val="24"/>
        </w:rPr>
        <w:t xml:space="preserve">ÖPSP </w:t>
      </w:r>
      <w:r w:rsidR="00734326" w:rsidRPr="00FC10AE">
        <w:rPr>
          <w:rFonts w:ascii="Times New Roman" w:hAnsi="Times New Roman" w:cs="Times New Roman"/>
          <w:sz w:val="24"/>
          <w:szCs w:val="24"/>
        </w:rPr>
        <w:t xml:space="preserve">dışında </w:t>
      </w:r>
      <w:r>
        <w:rPr>
          <w:rFonts w:ascii="Times New Roman" w:hAnsi="Times New Roman" w:cs="Times New Roman"/>
          <w:sz w:val="24"/>
          <w:szCs w:val="24"/>
        </w:rPr>
        <w:t>gerçekleştirilmesi</w:t>
      </w:r>
      <w:r w:rsidR="00734326" w:rsidRPr="00FC10AE">
        <w:rPr>
          <w:rFonts w:ascii="Times New Roman" w:hAnsi="Times New Roman" w:cs="Times New Roman"/>
          <w:sz w:val="24"/>
          <w:szCs w:val="24"/>
        </w:rPr>
        <w:t xml:space="preserve"> halinde ise, y</w:t>
      </w:r>
      <w:r w:rsidR="00D9179F" w:rsidRPr="00FC10AE">
        <w:rPr>
          <w:rFonts w:ascii="Times New Roman" w:hAnsi="Times New Roman" w:cs="Times New Roman"/>
          <w:sz w:val="24"/>
          <w:szCs w:val="24"/>
        </w:rPr>
        <w:t xml:space="preserve">ukarıdaki hususlara </w:t>
      </w:r>
      <w:r w:rsidR="00734326" w:rsidRPr="00FC10AE">
        <w:rPr>
          <w:rFonts w:ascii="Times New Roman" w:hAnsi="Times New Roman" w:cs="Times New Roman"/>
          <w:sz w:val="24"/>
          <w:szCs w:val="24"/>
        </w:rPr>
        <w:t>ilave</w:t>
      </w:r>
      <w:r w:rsidR="00D9179F" w:rsidRPr="00FC10AE">
        <w:rPr>
          <w:rFonts w:ascii="Times New Roman" w:hAnsi="Times New Roman" w:cs="Times New Roman"/>
          <w:sz w:val="24"/>
          <w:szCs w:val="24"/>
        </w:rPr>
        <w:t xml:space="preserve"> olarak; </w:t>
      </w:r>
    </w:p>
    <w:p w:rsidR="00B60598" w:rsidRPr="00FC10AE" w:rsidRDefault="006C786F" w:rsidP="0006161B">
      <w:pPr>
        <w:pStyle w:val="ListParagraph"/>
        <w:numPr>
          <w:ilvl w:val="0"/>
          <w:numId w:val="33"/>
        </w:numPr>
        <w:jc w:val="both"/>
        <w:rPr>
          <w:rFonts w:ascii="Times New Roman" w:hAnsi="Times New Roman" w:cs="Times New Roman"/>
          <w:sz w:val="24"/>
          <w:szCs w:val="24"/>
        </w:rPr>
      </w:pPr>
      <w:r>
        <w:rPr>
          <w:rFonts w:ascii="Times New Roman" w:hAnsi="Times New Roman" w:cs="Times New Roman"/>
          <w:sz w:val="24"/>
          <w:szCs w:val="24"/>
        </w:rPr>
        <w:t>İşleme</w:t>
      </w:r>
      <w:r w:rsidR="00B60598" w:rsidRPr="00FC10AE">
        <w:rPr>
          <w:rFonts w:ascii="Times New Roman" w:hAnsi="Times New Roman" w:cs="Times New Roman"/>
          <w:sz w:val="24"/>
          <w:szCs w:val="24"/>
        </w:rPr>
        <w:t xml:space="preserve"> ilişkin olarak </w:t>
      </w:r>
      <w:r w:rsidR="00D9179F" w:rsidRPr="00FC10AE">
        <w:rPr>
          <w:rFonts w:ascii="Times New Roman" w:hAnsi="Times New Roman" w:cs="Times New Roman"/>
          <w:sz w:val="24"/>
          <w:szCs w:val="24"/>
        </w:rPr>
        <w:t>portföy saklayıcısına</w:t>
      </w:r>
      <w:r w:rsidR="00453BB9">
        <w:rPr>
          <w:rFonts w:ascii="Times New Roman" w:hAnsi="Times New Roman" w:cs="Times New Roman"/>
          <w:sz w:val="24"/>
          <w:szCs w:val="24"/>
        </w:rPr>
        <w:t xml:space="preserve"> </w:t>
      </w:r>
      <w:r w:rsidR="00B60598" w:rsidRPr="00FC10AE">
        <w:rPr>
          <w:rFonts w:ascii="Times New Roman" w:hAnsi="Times New Roman" w:cs="Times New Roman"/>
          <w:sz w:val="24"/>
          <w:szCs w:val="24"/>
        </w:rPr>
        <w:t xml:space="preserve">gerekli bildirimlerin yapılması, </w:t>
      </w:r>
    </w:p>
    <w:p w:rsidR="00B60598" w:rsidRPr="00FC10AE" w:rsidRDefault="00B60598" w:rsidP="0006161B">
      <w:pPr>
        <w:pStyle w:val="ListParagraph"/>
        <w:numPr>
          <w:ilvl w:val="0"/>
          <w:numId w:val="33"/>
        </w:numPr>
        <w:jc w:val="both"/>
        <w:rPr>
          <w:rFonts w:ascii="Times New Roman" w:hAnsi="Times New Roman" w:cs="Times New Roman"/>
          <w:sz w:val="24"/>
          <w:szCs w:val="24"/>
        </w:rPr>
      </w:pPr>
      <w:r w:rsidRPr="00FC10AE">
        <w:rPr>
          <w:rFonts w:ascii="Times New Roman" w:hAnsi="Times New Roman" w:cs="Times New Roman"/>
          <w:sz w:val="24"/>
          <w:szCs w:val="24"/>
        </w:rPr>
        <w:t xml:space="preserve">Ödünç işleminden ötürü ödenen komisyonun günlük olarak gider kaydedilmesi, </w:t>
      </w:r>
    </w:p>
    <w:p w:rsidR="00B60598" w:rsidRPr="00FC10AE" w:rsidRDefault="00B60598" w:rsidP="0006161B">
      <w:pPr>
        <w:pStyle w:val="ListParagraph"/>
        <w:numPr>
          <w:ilvl w:val="0"/>
          <w:numId w:val="33"/>
        </w:numPr>
        <w:jc w:val="both"/>
        <w:rPr>
          <w:rFonts w:ascii="Times New Roman" w:hAnsi="Times New Roman" w:cs="Times New Roman"/>
          <w:sz w:val="24"/>
          <w:szCs w:val="24"/>
        </w:rPr>
      </w:pPr>
      <w:r w:rsidRPr="00FC10AE">
        <w:rPr>
          <w:rFonts w:ascii="Times New Roman" w:hAnsi="Times New Roman" w:cs="Times New Roman"/>
          <w:sz w:val="24"/>
          <w:szCs w:val="24"/>
        </w:rPr>
        <w:t>Ödünç işlemi</w:t>
      </w:r>
      <w:r w:rsidR="00201C5E">
        <w:rPr>
          <w:rFonts w:ascii="Times New Roman" w:hAnsi="Times New Roman" w:cs="Times New Roman"/>
          <w:sz w:val="24"/>
          <w:szCs w:val="24"/>
        </w:rPr>
        <w:t xml:space="preserve"> nedeniyle verilen</w:t>
      </w:r>
      <w:r w:rsidRPr="00FC10AE">
        <w:rPr>
          <w:rFonts w:ascii="Times New Roman" w:hAnsi="Times New Roman" w:cs="Times New Roman"/>
          <w:sz w:val="24"/>
          <w:szCs w:val="24"/>
        </w:rPr>
        <w:t xml:space="preserve"> nakit teminatın ödünç veren veya </w:t>
      </w:r>
      <w:r w:rsidR="00465BD8">
        <w:rPr>
          <w:rFonts w:ascii="Times New Roman" w:hAnsi="Times New Roman" w:cs="Times New Roman"/>
          <w:sz w:val="24"/>
          <w:szCs w:val="24"/>
        </w:rPr>
        <w:t xml:space="preserve">ödünç </w:t>
      </w:r>
      <w:r w:rsidRPr="00FC10AE">
        <w:rPr>
          <w:rFonts w:ascii="Times New Roman" w:hAnsi="Times New Roman" w:cs="Times New Roman"/>
          <w:sz w:val="24"/>
          <w:szCs w:val="24"/>
        </w:rPr>
        <w:t>alan</w:t>
      </w:r>
      <w:r w:rsidR="00E600E2">
        <w:rPr>
          <w:rFonts w:ascii="Times New Roman" w:hAnsi="Times New Roman" w:cs="Times New Roman"/>
          <w:sz w:val="24"/>
          <w:szCs w:val="24"/>
        </w:rPr>
        <w:t xml:space="preserve"> (fon)</w:t>
      </w:r>
      <w:r w:rsidRPr="00FC10AE">
        <w:rPr>
          <w:rFonts w:ascii="Times New Roman" w:hAnsi="Times New Roman" w:cs="Times New Roman"/>
          <w:sz w:val="24"/>
          <w:szCs w:val="24"/>
        </w:rPr>
        <w:t xml:space="preserve"> adına nemalandırılması mümkün olup</w:t>
      </w:r>
      <w:r w:rsidR="00E25B64">
        <w:rPr>
          <w:rFonts w:ascii="Times New Roman" w:hAnsi="Times New Roman" w:cs="Times New Roman"/>
          <w:sz w:val="24"/>
          <w:szCs w:val="24"/>
        </w:rPr>
        <w:t>,</w:t>
      </w:r>
      <w:r w:rsidRPr="00FC10AE">
        <w:rPr>
          <w:rFonts w:ascii="Times New Roman" w:hAnsi="Times New Roman" w:cs="Times New Roman"/>
          <w:sz w:val="24"/>
          <w:szCs w:val="24"/>
        </w:rPr>
        <w:t xml:space="preserve"> bu hususun taraflar arasında kararlaştırılması, </w:t>
      </w:r>
    </w:p>
    <w:p w:rsidR="00B60598" w:rsidRPr="00FC10AE" w:rsidRDefault="00B60598" w:rsidP="0006161B">
      <w:pPr>
        <w:pStyle w:val="ListParagraph"/>
        <w:numPr>
          <w:ilvl w:val="0"/>
          <w:numId w:val="33"/>
        </w:numPr>
        <w:jc w:val="both"/>
        <w:rPr>
          <w:rFonts w:ascii="Times New Roman" w:hAnsi="Times New Roman" w:cs="Times New Roman"/>
          <w:sz w:val="24"/>
          <w:szCs w:val="24"/>
        </w:rPr>
      </w:pPr>
      <w:r w:rsidRPr="00FC10AE">
        <w:rPr>
          <w:rFonts w:ascii="Times New Roman" w:hAnsi="Times New Roman" w:cs="Times New Roman"/>
          <w:sz w:val="24"/>
          <w:szCs w:val="24"/>
        </w:rPr>
        <w:t>Nakit teminat</w:t>
      </w:r>
      <w:r w:rsidR="00E600E2">
        <w:rPr>
          <w:rFonts w:ascii="Times New Roman" w:hAnsi="Times New Roman" w:cs="Times New Roman"/>
          <w:sz w:val="24"/>
          <w:szCs w:val="24"/>
        </w:rPr>
        <w:t>,</w:t>
      </w:r>
      <w:r w:rsidR="00453BB9">
        <w:rPr>
          <w:rFonts w:ascii="Times New Roman" w:hAnsi="Times New Roman" w:cs="Times New Roman"/>
          <w:sz w:val="24"/>
          <w:szCs w:val="24"/>
        </w:rPr>
        <w:t xml:space="preserve"> </w:t>
      </w:r>
      <w:r w:rsidR="00E600E2">
        <w:rPr>
          <w:rFonts w:ascii="Times New Roman" w:hAnsi="Times New Roman" w:cs="Times New Roman"/>
          <w:sz w:val="24"/>
          <w:szCs w:val="24"/>
        </w:rPr>
        <w:t>fon</w:t>
      </w:r>
      <w:r w:rsidRPr="00FC10AE">
        <w:rPr>
          <w:rFonts w:ascii="Times New Roman" w:hAnsi="Times New Roman" w:cs="Times New Roman"/>
          <w:sz w:val="24"/>
          <w:szCs w:val="24"/>
        </w:rPr>
        <w:t xml:space="preserve"> adına nemalandırılacaksa nema tutarının </w:t>
      </w:r>
      <w:r w:rsidR="00E25B64">
        <w:rPr>
          <w:rFonts w:ascii="Times New Roman" w:hAnsi="Times New Roman" w:cs="Times New Roman"/>
          <w:sz w:val="24"/>
          <w:szCs w:val="24"/>
        </w:rPr>
        <w:t>“</w:t>
      </w:r>
      <w:r w:rsidRPr="00FC10AE">
        <w:rPr>
          <w:rFonts w:ascii="Times New Roman" w:hAnsi="Times New Roman" w:cs="Times New Roman"/>
          <w:sz w:val="24"/>
          <w:szCs w:val="24"/>
        </w:rPr>
        <w:t>diğe</w:t>
      </w:r>
      <w:r w:rsidR="00734326" w:rsidRPr="00FC10AE">
        <w:rPr>
          <w:rFonts w:ascii="Times New Roman" w:hAnsi="Times New Roman" w:cs="Times New Roman"/>
          <w:sz w:val="24"/>
          <w:szCs w:val="24"/>
        </w:rPr>
        <w:t>r alacaklar</w:t>
      </w:r>
      <w:r w:rsidR="00E25B64">
        <w:rPr>
          <w:rFonts w:ascii="Times New Roman" w:hAnsi="Times New Roman" w:cs="Times New Roman"/>
          <w:sz w:val="24"/>
          <w:szCs w:val="24"/>
        </w:rPr>
        <w:t>”</w:t>
      </w:r>
      <w:r w:rsidR="00734326" w:rsidRPr="00FC10AE">
        <w:rPr>
          <w:rFonts w:ascii="Times New Roman" w:hAnsi="Times New Roman" w:cs="Times New Roman"/>
          <w:sz w:val="24"/>
          <w:szCs w:val="24"/>
        </w:rPr>
        <w:t xml:space="preserve"> kaleminde izlenmesi</w:t>
      </w:r>
    </w:p>
    <w:p w:rsidR="00734326" w:rsidRDefault="00734326" w:rsidP="00734326">
      <w:pPr>
        <w:ind w:left="360"/>
        <w:jc w:val="both"/>
        <w:rPr>
          <w:rFonts w:ascii="Times New Roman" w:hAnsi="Times New Roman" w:cs="Times New Roman"/>
          <w:sz w:val="24"/>
          <w:szCs w:val="24"/>
        </w:rPr>
      </w:pPr>
      <w:r w:rsidRPr="00FC10AE">
        <w:rPr>
          <w:rFonts w:ascii="Times New Roman" w:hAnsi="Times New Roman" w:cs="Times New Roman"/>
          <w:sz w:val="24"/>
          <w:szCs w:val="24"/>
        </w:rPr>
        <w:t>gerekir.</w:t>
      </w:r>
    </w:p>
    <w:p w:rsidR="00943963" w:rsidRDefault="00943963" w:rsidP="00804455">
      <w:pPr>
        <w:jc w:val="both"/>
        <w:rPr>
          <w:rFonts w:ascii="Times New Roman" w:hAnsi="Times New Roman" w:cs="Times New Roman"/>
          <w:sz w:val="24"/>
          <w:szCs w:val="24"/>
        </w:rPr>
      </w:pPr>
    </w:p>
    <w:p w:rsidR="004E5309" w:rsidRPr="004E5309" w:rsidRDefault="009129F5" w:rsidP="00804455">
      <w:pPr>
        <w:pStyle w:val="Heading3"/>
        <w:jc w:val="both"/>
        <w:rPr>
          <w:rFonts w:eastAsia="Times New Roman"/>
          <w:lang w:eastAsia="tr-TR"/>
        </w:rPr>
      </w:pPr>
      <w:bookmarkStart w:id="143" w:name="_Toc130312556"/>
      <w:bookmarkStart w:id="144" w:name="_Toc130312689"/>
      <w:r>
        <w:rPr>
          <w:rFonts w:eastAsia="Times New Roman"/>
          <w:lang w:eastAsia="tr-TR"/>
        </w:rPr>
        <w:t>4</w:t>
      </w:r>
      <w:r w:rsidR="004E5309" w:rsidRPr="004E5309">
        <w:rPr>
          <w:rFonts w:eastAsia="Times New Roman"/>
          <w:lang w:eastAsia="tr-TR"/>
        </w:rPr>
        <w:t xml:space="preserve">.2.6. </w:t>
      </w:r>
      <w:r w:rsidR="00061D6D">
        <w:rPr>
          <w:rFonts w:eastAsia="Times New Roman"/>
          <w:lang w:eastAsia="tr-TR"/>
        </w:rPr>
        <w:t xml:space="preserve">(Değişiklik: 27.06.2019 tarih ve 38/864 sayılı </w:t>
      </w:r>
      <w:r w:rsidR="00B27B43">
        <w:rPr>
          <w:rFonts w:eastAsia="Times New Roman"/>
          <w:lang w:eastAsia="tr-TR"/>
        </w:rPr>
        <w:t xml:space="preserve">Kurul </w:t>
      </w:r>
      <w:r w:rsidR="00061D6D">
        <w:rPr>
          <w:rFonts w:eastAsia="Times New Roman"/>
          <w:lang w:eastAsia="tr-TR"/>
        </w:rPr>
        <w:t>Karar</w:t>
      </w:r>
      <w:r w:rsidR="00B27B43">
        <w:rPr>
          <w:rFonts w:eastAsia="Times New Roman"/>
          <w:lang w:eastAsia="tr-TR"/>
        </w:rPr>
        <w:t>ı ile</w:t>
      </w:r>
      <w:r w:rsidR="00061D6D">
        <w:rPr>
          <w:rFonts w:eastAsia="Times New Roman"/>
          <w:lang w:eastAsia="tr-TR"/>
        </w:rPr>
        <w:t>)</w:t>
      </w:r>
      <w:r w:rsidR="008F7D25">
        <w:rPr>
          <w:rFonts w:eastAsia="Times New Roman"/>
          <w:lang w:eastAsia="tr-TR"/>
        </w:rPr>
        <w:t>, (Değişiklik:17.06.2021 tarih ve 31/925 sayılı Kurul Kararı ile)</w:t>
      </w:r>
      <w:r w:rsidR="00935DF7">
        <w:rPr>
          <w:rFonts w:eastAsia="Times New Roman"/>
          <w:lang w:eastAsia="tr-TR"/>
        </w:rPr>
        <w:t>,</w:t>
      </w:r>
      <w:r w:rsidR="00935DF7" w:rsidRPr="00935DF7">
        <w:rPr>
          <w:rFonts w:eastAsia="Times New Roman"/>
          <w:lang w:eastAsia="tr-TR"/>
        </w:rPr>
        <w:t xml:space="preserve"> </w:t>
      </w:r>
      <w:r w:rsidR="00935DF7">
        <w:rPr>
          <w:rFonts w:eastAsia="Times New Roman"/>
          <w:lang w:eastAsia="tr-TR"/>
        </w:rPr>
        <w:t>(Değişiklik:29.09.2022 tarih ve 54/1446 sayılı Kurul Kararı ile)</w:t>
      </w:r>
      <w:r w:rsidR="00061D6D">
        <w:rPr>
          <w:rFonts w:eastAsia="Times New Roman"/>
          <w:lang w:eastAsia="tr-TR"/>
        </w:rPr>
        <w:t xml:space="preserve"> </w:t>
      </w:r>
      <w:r w:rsidR="00061D6D" w:rsidRPr="00061D6D">
        <w:rPr>
          <w:rFonts w:eastAsia="Times New Roman"/>
          <w:lang w:eastAsia="tr-TR"/>
        </w:rPr>
        <w:t>Fon Portföyünde Yer Alan Varlıkların Vadesinin Hesaplanması</w:t>
      </w:r>
      <w:bookmarkEnd w:id="143"/>
      <w:bookmarkEnd w:id="144"/>
      <w:r w:rsidR="00061D6D" w:rsidDel="00061D6D">
        <w:rPr>
          <w:rFonts w:eastAsia="Times New Roman"/>
          <w:lang w:eastAsia="tr-TR"/>
        </w:rPr>
        <w:t xml:space="preserve"> </w:t>
      </w:r>
    </w:p>
    <w:p w:rsidR="004E5309" w:rsidRDefault="004E5309" w:rsidP="004E5309">
      <w:pPr>
        <w:spacing w:after="0" w:line="240" w:lineRule="auto"/>
        <w:jc w:val="both"/>
        <w:rPr>
          <w:rFonts w:ascii="Times New Roman" w:eastAsia="Times New Roman" w:hAnsi="Times New Roman" w:cs="Times New Roman"/>
          <w:color w:val="000000"/>
          <w:sz w:val="24"/>
          <w:szCs w:val="24"/>
          <w:lang w:eastAsia="tr-TR"/>
        </w:rPr>
      </w:pPr>
    </w:p>
    <w:p w:rsidR="004E5309" w:rsidRPr="004E5309" w:rsidRDefault="008F7D25" w:rsidP="004537B8">
      <w:pPr>
        <w:spacing w:after="0" w:line="240" w:lineRule="auto"/>
        <w:ind w:firstLine="708"/>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Fonların portföylerine dahil edilen varlıklar için yapılacak vadeye kalan gün sayısı ve fon portföyleri için </w:t>
      </w:r>
      <w:r w:rsidR="005B403A">
        <w:rPr>
          <w:rFonts w:ascii="Times New Roman" w:eastAsia="Times New Roman" w:hAnsi="Times New Roman" w:cs="Times New Roman"/>
          <w:color w:val="000000"/>
          <w:sz w:val="24"/>
          <w:szCs w:val="24"/>
          <w:lang w:eastAsia="tr-TR"/>
        </w:rPr>
        <w:t xml:space="preserve">yapılacak ağırlıklı ortalama vade hesaplamalarında, </w:t>
      </w:r>
      <w:r w:rsidR="00DC73D0">
        <w:rPr>
          <w:rFonts w:ascii="Times New Roman" w:eastAsia="Times New Roman" w:hAnsi="Times New Roman" w:cs="Times New Roman"/>
          <w:color w:val="000000"/>
          <w:sz w:val="24"/>
          <w:szCs w:val="24"/>
          <w:lang w:eastAsia="tr-TR"/>
        </w:rPr>
        <w:t xml:space="preserve">aşağıda yer verilen </w:t>
      </w:r>
      <w:r w:rsidR="0018304C" w:rsidRPr="0018304C">
        <w:rPr>
          <w:rFonts w:ascii="Times New Roman" w:eastAsia="Times New Roman" w:hAnsi="Times New Roman" w:cs="Times New Roman"/>
          <w:color w:val="000000"/>
          <w:sz w:val="24"/>
          <w:szCs w:val="24"/>
          <w:lang w:eastAsia="tr-TR"/>
        </w:rPr>
        <w:t xml:space="preserve">sermaye piyasası araçlarının </w:t>
      </w:r>
      <w:r w:rsidR="004E5309">
        <w:rPr>
          <w:rFonts w:ascii="Times New Roman" w:eastAsia="Times New Roman" w:hAnsi="Times New Roman" w:cs="Times New Roman"/>
          <w:color w:val="000000"/>
          <w:sz w:val="24"/>
          <w:szCs w:val="24"/>
          <w:lang w:eastAsia="tr-TR"/>
        </w:rPr>
        <w:t>vade</w:t>
      </w:r>
      <w:r w:rsidR="005B403A">
        <w:rPr>
          <w:rFonts w:ascii="Times New Roman" w:eastAsia="Times New Roman" w:hAnsi="Times New Roman" w:cs="Times New Roman"/>
          <w:color w:val="000000"/>
          <w:sz w:val="24"/>
          <w:szCs w:val="24"/>
          <w:lang w:eastAsia="tr-TR"/>
        </w:rPr>
        <w:t>si</w:t>
      </w:r>
      <w:r w:rsidR="00453BB9">
        <w:rPr>
          <w:rFonts w:ascii="Times New Roman" w:eastAsia="Times New Roman" w:hAnsi="Times New Roman" w:cs="Times New Roman"/>
          <w:color w:val="000000"/>
          <w:sz w:val="24"/>
          <w:szCs w:val="24"/>
          <w:lang w:eastAsia="tr-TR"/>
        </w:rPr>
        <w:t xml:space="preserve"> </w:t>
      </w:r>
      <w:r w:rsidR="00DC73D0">
        <w:rPr>
          <w:rFonts w:ascii="Times New Roman" w:eastAsia="Times New Roman" w:hAnsi="Times New Roman" w:cs="Times New Roman"/>
          <w:color w:val="000000"/>
          <w:sz w:val="24"/>
          <w:szCs w:val="24"/>
          <w:lang w:eastAsia="tr-TR"/>
        </w:rPr>
        <w:t xml:space="preserve">şu </w:t>
      </w:r>
      <w:r w:rsidR="004E5309">
        <w:rPr>
          <w:rFonts w:ascii="Times New Roman" w:eastAsia="Times New Roman" w:hAnsi="Times New Roman" w:cs="Times New Roman"/>
          <w:color w:val="000000"/>
          <w:sz w:val="24"/>
          <w:szCs w:val="24"/>
          <w:lang w:eastAsia="tr-TR"/>
        </w:rPr>
        <w:t xml:space="preserve">şekilde </w:t>
      </w:r>
      <w:r w:rsidR="005B403A">
        <w:rPr>
          <w:rFonts w:ascii="Times New Roman" w:eastAsia="Times New Roman" w:hAnsi="Times New Roman" w:cs="Times New Roman"/>
          <w:color w:val="000000"/>
          <w:sz w:val="24"/>
          <w:szCs w:val="24"/>
          <w:lang w:eastAsia="tr-TR"/>
        </w:rPr>
        <w:t>hesaplanır</w:t>
      </w:r>
      <w:r w:rsidR="004E5309">
        <w:rPr>
          <w:rFonts w:ascii="Times New Roman" w:eastAsia="Times New Roman" w:hAnsi="Times New Roman" w:cs="Times New Roman"/>
          <w:color w:val="000000"/>
          <w:sz w:val="24"/>
          <w:szCs w:val="24"/>
          <w:lang w:eastAsia="tr-TR"/>
        </w:rPr>
        <w:t>.</w:t>
      </w:r>
    </w:p>
    <w:p w:rsidR="004E5309" w:rsidRDefault="004E5309" w:rsidP="004E5309">
      <w:pPr>
        <w:spacing w:after="0" w:line="240" w:lineRule="auto"/>
        <w:jc w:val="both"/>
        <w:rPr>
          <w:rFonts w:ascii="Times New Roman" w:eastAsia="Times New Roman" w:hAnsi="Times New Roman" w:cs="Times New Roman"/>
          <w:color w:val="000000"/>
          <w:sz w:val="24"/>
          <w:szCs w:val="24"/>
          <w:lang w:eastAsia="tr-TR"/>
        </w:rPr>
      </w:pPr>
    </w:p>
    <w:tbl>
      <w:tblPr>
        <w:tblStyle w:val="TableGrid"/>
        <w:tblW w:w="9362" w:type="dxa"/>
        <w:tblLook w:val="04A0" w:firstRow="1" w:lastRow="0" w:firstColumn="1" w:lastColumn="0" w:noHBand="0" w:noVBand="1"/>
      </w:tblPr>
      <w:tblGrid>
        <w:gridCol w:w="4957"/>
        <w:gridCol w:w="4405"/>
      </w:tblGrid>
      <w:tr w:rsidR="004E5309" w:rsidRPr="004E5309" w:rsidTr="008E4F8A">
        <w:trPr>
          <w:trHeight w:val="277"/>
        </w:trPr>
        <w:tc>
          <w:tcPr>
            <w:tcW w:w="4957" w:type="dxa"/>
          </w:tcPr>
          <w:p w:rsidR="004E5309" w:rsidRPr="004E5309" w:rsidRDefault="0018304C" w:rsidP="005B403A">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Varlık</w:t>
            </w:r>
            <w:r w:rsidR="004E5309" w:rsidRPr="004E5309">
              <w:rPr>
                <w:rFonts w:ascii="Times New Roman" w:hAnsi="Times New Roman" w:cs="Times New Roman"/>
                <w:b/>
                <w:color w:val="000000"/>
                <w:sz w:val="24"/>
                <w:szCs w:val="24"/>
              </w:rPr>
              <w:t xml:space="preserve"> T</w:t>
            </w:r>
            <w:r w:rsidR="005B403A">
              <w:rPr>
                <w:rFonts w:ascii="Times New Roman" w:hAnsi="Times New Roman" w:cs="Times New Roman"/>
                <w:b/>
                <w:color w:val="000000"/>
                <w:sz w:val="24"/>
                <w:szCs w:val="24"/>
              </w:rPr>
              <w:t>ürü</w:t>
            </w:r>
          </w:p>
        </w:tc>
        <w:tc>
          <w:tcPr>
            <w:tcW w:w="4405" w:type="dxa"/>
          </w:tcPr>
          <w:p w:rsidR="004E5309" w:rsidRPr="004E5309" w:rsidRDefault="004E5309" w:rsidP="005B403A">
            <w:pPr>
              <w:jc w:val="both"/>
              <w:rPr>
                <w:rFonts w:ascii="Times New Roman" w:hAnsi="Times New Roman" w:cs="Times New Roman"/>
                <w:b/>
                <w:color w:val="000000"/>
                <w:sz w:val="24"/>
                <w:szCs w:val="24"/>
              </w:rPr>
            </w:pPr>
            <w:r w:rsidRPr="004E5309">
              <w:rPr>
                <w:rFonts w:ascii="Times New Roman" w:hAnsi="Times New Roman" w:cs="Times New Roman"/>
                <w:b/>
                <w:color w:val="000000"/>
                <w:sz w:val="24"/>
                <w:szCs w:val="24"/>
              </w:rPr>
              <w:t>Vade</w:t>
            </w:r>
          </w:p>
        </w:tc>
      </w:tr>
      <w:tr w:rsidR="004E5309" w:rsidRPr="004E5309" w:rsidTr="008E4F8A">
        <w:trPr>
          <w:trHeight w:val="821"/>
        </w:trPr>
        <w:tc>
          <w:tcPr>
            <w:tcW w:w="4957" w:type="dxa"/>
          </w:tcPr>
          <w:p w:rsidR="004E5309" w:rsidRPr="004E5309" w:rsidRDefault="004E5309" w:rsidP="00776402">
            <w:pPr>
              <w:jc w:val="both"/>
              <w:rPr>
                <w:rFonts w:ascii="Times New Roman" w:hAnsi="Times New Roman" w:cs="Times New Roman"/>
                <w:color w:val="000000"/>
                <w:sz w:val="24"/>
                <w:szCs w:val="24"/>
              </w:rPr>
            </w:pPr>
            <w:r w:rsidRPr="004E5309">
              <w:rPr>
                <w:rFonts w:ascii="Times New Roman" w:hAnsi="Times New Roman" w:cs="Times New Roman"/>
                <w:color w:val="000000"/>
                <w:sz w:val="24"/>
                <w:szCs w:val="24"/>
              </w:rPr>
              <w:t xml:space="preserve">İskontolu </w:t>
            </w:r>
            <w:r w:rsidR="00776402">
              <w:rPr>
                <w:rFonts w:ascii="Times New Roman" w:hAnsi="Times New Roman" w:cs="Times New Roman"/>
                <w:color w:val="000000"/>
                <w:sz w:val="24"/>
                <w:szCs w:val="24"/>
              </w:rPr>
              <w:t>sermaye piyasası araçları</w:t>
            </w:r>
          </w:p>
        </w:tc>
        <w:tc>
          <w:tcPr>
            <w:tcW w:w="4405" w:type="dxa"/>
          </w:tcPr>
          <w:p w:rsidR="004E5309" w:rsidRPr="004E5309" w:rsidRDefault="004E5309" w:rsidP="005B403A">
            <w:pPr>
              <w:jc w:val="both"/>
              <w:rPr>
                <w:rFonts w:ascii="Times New Roman" w:hAnsi="Times New Roman" w:cs="Times New Roman"/>
                <w:color w:val="000000"/>
                <w:sz w:val="24"/>
                <w:szCs w:val="24"/>
              </w:rPr>
            </w:pPr>
            <w:r w:rsidRPr="004E5309">
              <w:rPr>
                <w:rFonts w:ascii="Times New Roman" w:hAnsi="Times New Roman" w:cs="Times New Roman"/>
                <w:color w:val="000000"/>
                <w:sz w:val="24"/>
                <w:szCs w:val="24"/>
              </w:rPr>
              <w:t>İtfa tarihine kalan süre</w:t>
            </w:r>
          </w:p>
        </w:tc>
      </w:tr>
      <w:tr w:rsidR="004E5309" w:rsidRPr="004E5309" w:rsidTr="008E4F8A">
        <w:trPr>
          <w:trHeight w:val="867"/>
        </w:trPr>
        <w:tc>
          <w:tcPr>
            <w:tcW w:w="4957" w:type="dxa"/>
          </w:tcPr>
          <w:p w:rsidR="004E5309" w:rsidRPr="004E5309" w:rsidRDefault="00935DF7" w:rsidP="00776402">
            <w:pPr>
              <w:jc w:val="both"/>
              <w:rPr>
                <w:rFonts w:ascii="Times New Roman" w:hAnsi="Times New Roman" w:cs="Times New Roman"/>
                <w:color w:val="000000"/>
                <w:sz w:val="24"/>
                <w:szCs w:val="24"/>
              </w:rPr>
            </w:pPr>
            <w:r>
              <w:rPr>
                <w:rFonts w:ascii="Times New Roman" w:hAnsi="Times New Roman" w:cs="Times New Roman"/>
                <w:color w:val="000000"/>
                <w:sz w:val="24"/>
                <w:szCs w:val="24"/>
              </w:rPr>
              <w:t>Gelire endeksli senetler, s</w:t>
            </w:r>
            <w:r w:rsidR="004E5309" w:rsidRPr="004E5309">
              <w:rPr>
                <w:rFonts w:ascii="Times New Roman" w:hAnsi="Times New Roman" w:cs="Times New Roman"/>
                <w:color w:val="000000"/>
                <w:sz w:val="24"/>
                <w:szCs w:val="24"/>
              </w:rPr>
              <w:t xml:space="preserve">abit kupon oranlı </w:t>
            </w:r>
            <w:r w:rsidR="00776402">
              <w:rPr>
                <w:rFonts w:ascii="Times New Roman" w:hAnsi="Times New Roman" w:cs="Times New Roman"/>
                <w:color w:val="000000"/>
                <w:sz w:val="24"/>
                <w:szCs w:val="24"/>
              </w:rPr>
              <w:t>sermaye piyasası araçları</w:t>
            </w:r>
          </w:p>
        </w:tc>
        <w:tc>
          <w:tcPr>
            <w:tcW w:w="4405" w:type="dxa"/>
          </w:tcPr>
          <w:p w:rsidR="004E5309" w:rsidRPr="004E5309" w:rsidRDefault="004E5309" w:rsidP="005B403A">
            <w:pPr>
              <w:jc w:val="both"/>
              <w:rPr>
                <w:rFonts w:ascii="Times New Roman" w:hAnsi="Times New Roman" w:cs="Times New Roman"/>
                <w:color w:val="000000"/>
                <w:sz w:val="24"/>
                <w:szCs w:val="24"/>
              </w:rPr>
            </w:pPr>
            <w:r w:rsidRPr="004E5309">
              <w:rPr>
                <w:rFonts w:ascii="Times New Roman" w:hAnsi="Times New Roman" w:cs="Times New Roman"/>
                <w:color w:val="000000"/>
                <w:sz w:val="24"/>
                <w:szCs w:val="24"/>
              </w:rPr>
              <w:t>Anaparanın ve kalan kupon ödemelerinin zaman ağırlıklı tahsil süresi (Macaulay</w:t>
            </w:r>
            <w:r w:rsidR="00453BB9">
              <w:rPr>
                <w:rFonts w:ascii="Times New Roman" w:hAnsi="Times New Roman" w:cs="Times New Roman"/>
                <w:color w:val="000000"/>
                <w:sz w:val="24"/>
                <w:szCs w:val="24"/>
              </w:rPr>
              <w:t xml:space="preserve"> </w:t>
            </w:r>
            <w:r w:rsidRPr="004E5309">
              <w:rPr>
                <w:rFonts w:ascii="Times New Roman" w:hAnsi="Times New Roman" w:cs="Times New Roman"/>
                <w:color w:val="000000"/>
                <w:sz w:val="24"/>
                <w:szCs w:val="24"/>
              </w:rPr>
              <w:t xml:space="preserve">Duration) </w:t>
            </w:r>
          </w:p>
        </w:tc>
      </w:tr>
      <w:tr w:rsidR="004E5309" w:rsidRPr="004E5309" w:rsidTr="008E4F8A">
        <w:trPr>
          <w:trHeight w:val="555"/>
        </w:trPr>
        <w:tc>
          <w:tcPr>
            <w:tcW w:w="4957" w:type="dxa"/>
          </w:tcPr>
          <w:p w:rsidR="004E5309" w:rsidRPr="004E5309" w:rsidRDefault="004E5309" w:rsidP="00051442">
            <w:pPr>
              <w:jc w:val="both"/>
              <w:rPr>
                <w:rFonts w:ascii="Times New Roman" w:hAnsi="Times New Roman" w:cs="Times New Roman"/>
                <w:color w:val="000000"/>
                <w:sz w:val="24"/>
                <w:szCs w:val="24"/>
              </w:rPr>
            </w:pPr>
            <w:r w:rsidRPr="004E5309">
              <w:rPr>
                <w:rFonts w:ascii="Times New Roman" w:hAnsi="Times New Roman" w:cs="Times New Roman"/>
                <w:color w:val="000000"/>
                <w:sz w:val="24"/>
                <w:szCs w:val="24"/>
              </w:rPr>
              <w:t xml:space="preserve">Oranı piyasa faiz oranlarına endeksli kupon ödemeleri olan </w:t>
            </w:r>
            <w:r w:rsidR="00051442">
              <w:rPr>
                <w:rFonts w:ascii="Times New Roman" w:hAnsi="Times New Roman" w:cs="Times New Roman"/>
                <w:color w:val="000000"/>
                <w:sz w:val="24"/>
                <w:szCs w:val="24"/>
              </w:rPr>
              <w:t>semaye piyasası araçları</w:t>
            </w:r>
            <w:r w:rsidR="008F7D25">
              <w:rPr>
                <w:rFonts w:ascii="Times New Roman" w:hAnsi="Times New Roman" w:cs="Times New Roman"/>
                <w:color w:val="000000"/>
                <w:sz w:val="24"/>
                <w:szCs w:val="24"/>
              </w:rPr>
              <w:t xml:space="preserve"> (kupon oranları TLREF’e endeksli olan kamu/özel sektör borçlanma araçları</w:t>
            </w:r>
            <w:r w:rsidR="00A07955">
              <w:rPr>
                <w:rFonts w:ascii="Times New Roman" w:hAnsi="Times New Roman" w:cs="Times New Roman"/>
                <w:color w:val="000000"/>
                <w:sz w:val="24"/>
                <w:szCs w:val="24"/>
              </w:rPr>
              <w:t>, vb.</w:t>
            </w:r>
            <w:r w:rsidR="008F7D25">
              <w:rPr>
                <w:rFonts w:ascii="Times New Roman" w:hAnsi="Times New Roman" w:cs="Times New Roman"/>
                <w:color w:val="000000"/>
                <w:sz w:val="24"/>
                <w:szCs w:val="24"/>
              </w:rPr>
              <w:t>)</w:t>
            </w:r>
          </w:p>
        </w:tc>
        <w:tc>
          <w:tcPr>
            <w:tcW w:w="4405" w:type="dxa"/>
          </w:tcPr>
          <w:p w:rsidR="004E5309" w:rsidRPr="004E5309" w:rsidRDefault="004E5309" w:rsidP="005B403A">
            <w:pPr>
              <w:jc w:val="both"/>
              <w:rPr>
                <w:rFonts w:ascii="Times New Roman" w:hAnsi="Times New Roman" w:cs="Times New Roman"/>
                <w:color w:val="000000"/>
                <w:sz w:val="24"/>
                <w:szCs w:val="24"/>
              </w:rPr>
            </w:pPr>
            <w:r w:rsidRPr="004E5309">
              <w:rPr>
                <w:rFonts w:ascii="Times New Roman" w:hAnsi="Times New Roman" w:cs="Times New Roman"/>
                <w:color w:val="000000"/>
                <w:sz w:val="24"/>
                <w:szCs w:val="24"/>
              </w:rPr>
              <w:t>İlk/bir sonraki kupon ödemesine kalan süre</w:t>
            </w:r>
          </w:p>
        </w:tc>
      </w:tr>
      <w:tr w:rsidR="004E5309" w:rsidRPr="004E5309" w:rsidTr="008E4F8A">
        <w:trPr>
          <w:trHeight w:val="338"/>
        </w:trPr>
        <w:tc>
          <w:tcPr>
            <w:tcW w:w="4957" w:type="dxa"/>
          </w:tcPr>
          <w:p w:rsidR="004E5309" w:rsidRPr="004E5309" w:rsidRDefault="004E5309" w:rsidP="00051442">
            <w:pPr>
              <w:jc w:val="both"/>
              <w:rPr>
                <w:rFonts w:ascii="Times New Roman" w:hAnsi="Times New Roman" w:cs="Times New Roman"/>
                <w:color w:val="000000"/>
                <w:sz w:val="24"/>
                <w:szCs w:val="24"/>
              </w:rPr>
            </w:pPr>
            <w:r w:rsidRPr="004E5309">
              <w:rPr>
                <w:rFonts w:ascii="Times New Roman" w:hAnsi="Times New Roman" w:cs="Times New Roman"/>
                <w:color w:val="000000"/>
                <w:sz w:val="24"/>
                <w:szCs w:val="24"/>
              </w:rPr>
              <w:t>Tüketici fiyatlarına endeksli</w:t>
            </w:r>
            <w:r w:rsidR="00051442">
              <w:rPr>
                <w:rFonts w:ascii="Times New Roman" w:hAnsi="Times New Roman" w:cs="Times New Roman"/>
                <w:color w:val="000000"/>
                <w:sz w:val="24"/>
                <w:szCs w:val="24"/>
              </w:rPr>
              <w:t xml:space="preserve"> sermaye piyasası araçları</w:t>
            </w:r>
          </w:p>
        </w:tc>
        <w:tc>
          <w:tcPr>
            <w:tcW w:w="4405" w:type="dxa"/>
          </w:tcPr>
          <w:p w:rsidR="004E5309" w:rsidRPr="004E5309" w:rsidRDefault="004E5309" w:rsidP="005B403A">
            <w:pPr>
              <w:jc w:val="both"/>
              <w:rPr>
                <w:rFonts w:ascii="Times New Roman" w:hAnsi="Times New Roman" w:cs="Times New Roman"/>
                <w:color w:val="000000"/>
                <w:sz w:val="24"/>
                <w:szCs w:val="24"/>
              </w:rPr>
            </w:pPr>
            <w:r w:rsidRPr="004E5309">
              <w:rPr>
                <w:rFonts w:ascii="Times New Roman" w:hAnsi="Times New Roman" w:cs="Times New Roman"/>
                <w:color w:val="000000"/>
                <w:sz w:val="24"/>
                <w:szCs w:val="24"/>
              </w:rPr>
              <w:t>Anaparanın itfa tarihine kalan süre</w:t>
            </w:r>
          </w:p>
        </w:tc>
      </w:tr>
    </w:tbl>
    <w:p w:rsidR="006806B5" w:rsidRDefault="006806B5" w:rsidP="006806B5">
      <w:pPr>
        <w:ind w:left="360"/>
        <w:jc w:val="both"/>
      </w:pPr>
    </w:p>
    <w:p w:rsidR="00061D6D" w:rsidRPr="00061D6D" w:rsidRDefault="00061D6D" w:rsidP="00804455">
      <w:pPr>
        <w:tabs>
          <w:tab w:val="left" w:pos="851"/>
        </w:tabs>
        <w:spacing w:after="120"/>
        <w:ind w:firstLine="567"/>
        <w:jc w:val="both"/>
        <w:rPr>
          <w:rFonts w:ascii="Times New Roman" w:eastAsia="Times New Roman" w:hAnsi="Times New Roman" w:cs="Times New Roman"/>
          <w:sz w:val="24"/>
          <w:szCs w:val="24"/>
          <w:lang w:eastAsia="tr-TR"/>
        </w:rPr>
      </w:pPr>
      <w:r w:rsidRPr="00061D6D">
        <w:rPr>
          <w:rFonts w:ascii="Times New Roman" w:eastAsia="Times New Roman" w:hAnsi="Times New Roman" w:cs="Times New Roman"/>
          <w:sz w:val="24"/>
          <w:szCs w:val="24"/>
          <w:lang w:eastAsia="tr-TR"/>
        </w:rPr>
        <w:t>Dönemsel faiz/kar payı ödemesi içeren vadeli mevduat/katılma hesaplarında, vade ilk/bir sonraki dönemsel ödemeye kalan süre dikkate alınarak hesaplanır.</w:t>
      </w:r>
    </w:p>
    <w:p w:rsidR="00061D6D" w:rsidRPr="00061D6D" w:rsidRDefault="00061D6D" w:rsidP="00804455">
      <w:pPr>
        <w:ind w:firstLine="567"/>
        <w:jc w:val="both"/>
        <w:rPr>
          <w:rFonts w:ascii="Times New Roman" w:eastAsia="Times New Roman" w:hAnsi="Times New Roman" w:cs="Times New Roman"/>
          <w:sz w:val="24"/>
          <w:szCs w:val="24"/>
          <w:lang w:eastAsia="tr-TR"/>
        </w:rPr>
      </w:pPr>
      <w:r w:rsidRPr="00061D6D">
        <w:rPr>
          <w:rFonts w:ascii="Times New Roman" w:eastAsia="Times New Roman" w:hAnsi="Times New Roman" w:cs="Times New Roman"/>
          <w:sz w:val="24"/>
          <w:szCs w:val="24"/>
          <w:lang w:eastAsia="tr-TR"/>
        </w:rPr>
        <w:t>Fon payı alım ve satım işlemlerinin fon fiyatının ilan edildiği tarihte geçerli olan fiyat esas alınarak gerçekleştirilmesi sebebiyle, fon portföyüne dahil edilen borçlanma araçları, ters repo sözleşmeleri, Takasbank Para Piyasası işlemleri, vadeli mevduat/katılma hesapları ile benzeri araç ve işlemlerde ilgili aracın/işlemin vadeye kalan gün sayısının hesaplanmasında fon fiyatının ilan edildiği tarihin (uygulama tarihinin) esas alınması gerekmektedir</w:t>
      </w:r>
      <w:r>
        <w:rPr>
          <w:rFonts w:ascii="Times New Roman" w:eastAsia="Times New Roman" w:hAnsi="Times New Roman" w:cs="Times New Roman"/>
          <w:sz w:val="24"/>
          <w:szCs w:val="24"/>
          <w:lang w:eastAsia="tr-TR"/>
        </w:rPr>
        <w:t>.</w:t>
      </w:r>
    </w:p>
    <w:p w:rsidR="00F96A15" w:rsidRDefault="00F96A15" w:rsidP="0076180C">
      <w:pPr>
        <w:pStyle w:val="Heading3"/>
      </w:pPr>
      <w:bookmarkStart w:id="145" w:name="_Toc130312557"/>
      <w:bookmarkStart w:id="146" w:name="_Toc130312690"/>
      <w:r>
        <w:t>4.2.7. Borsa Dışı Türev Araç ve Swap Sözleşmelerine İlişkin Esaslar</w:t>
      </w:r>
      <w:bookmarkEnd w:id="145"/>
      <w:bookmarkEnd w:id="146"/>
    </w:p>
    <w:p w:rsidR="00DC4F26" w:rsidRPr="00DC4F26" w:rsidRDefault="00DC4F26" w:rsidP="00DC4F26"/>
    <w:p w:rsidR="00DC4F26" w:rsidRDefault="00DC4F26" w:rsidP="0006161B">
      <w:pPr>
        <w:pStyle w:val="ListParagraph"/>
        <w:numPr>
          <w:ilvl w:val="0"/>
          <w:numId w:val="69"/>
        </w:numPr>
        <w:jc w:val="both"/>
        <w:rPr>
          <w:rFonts w:ascii="Times New Roman" w:eastAsia="Times New Roman" w:hAnsi="Times New Roman" w:cs="Times New Roman"/>
          <w:sz w:val="24"/>
          <w:szCs w:val="24"/>
          <w:lang w:eastAsia="tr-TR"/>
        </w:rPr>
      </w:pPr>
      <w:r w:rsidRPr="002F0D5F">
        <w:rPr>
          <w:rFonts w:ascii="Times New Roman" w:eastAsia="Times New Roman" w:hAnsi="Times New Roman" w:cs="Times New Roman"/>
          <w:sz w:val="24"/>
          <w:szCs w:val="24"/>
          <w:lang w:eastAsia="tr-TR"/>
        </w:rPr>
        <w:t xml:space="preserve">Fon portföylerine, riskten korunma amacıyla sınırlı olarak borsa dışından türev araç ve swap sözleşmeleri dahil edilebilir. Riskten korunmanın kapsamına ilişkin olarak bu Rehber’in (7.5.4.) nolu bölümünde yer alan esaslar uygulanır. </w:t>
      </w:r>
    </w:p>
    <w:p w:rsidR="002E66BB" w:rsidRPr="002F0D5F" w:rsidRDefault="002E66BB" w:rsidP="002E66BB">
      <w:pPr>
        <w:pStyle w:val="ListParagraph"/>
        <w:ind w:left="770"/>
        <w:jc w:val="both"/>
        <w:rPr>
          <w:rFonts w:ascii="Times New Roman" w:eastAsia="Times New Roman" w:hAnsi="Times New Roman" w:cs="Times New Roman"/>
          <w:sz w:val="24"/>
          <w:szCs w:val="24"/>
          <w:lang w:eastAsia="tr-TR"/>
        </w:rPr>
      </w:pPr>
    </w:p>
    <w:p w:rsidR="00F96A15" w:rsidRDefault="00F92377" w:rsidP="0006161B">
      <w:pPr>
        <w:pStyle w:val="ListParagraph"/>
        <w:numPr>
          <w:ilvl w:val="0"/>
          <w:numId w:val="69"/>
        </w:num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w:t>
      </w:r>
      <w:r w:rsidR="00F96A15" w:rsidRPr="00DC4F26">
        <w:rPr>
          <w:rFonts w:ascii="Times New Roman" w:eastAsia="Times New Roman" w:hAnsi="Times New Roman" w:cs="Times New Roman"/>
          <w:sz w:val="24"/>
          <w:szCs w:val="24"/>
          <w:lang w:eastAsia="tr-TR"/>
        </w:rPr>
        <w:t>orsa dışı türev araç ve swap sözleşmelerinin;</w:t>
      </w:r>
    </w:p>
    <w:p w:rsidR="003A0EC0" w:rsidRPr="00DC4F26" w:rsidRDefault="003A0EC0" w:rsidP="003A0EC0">
      <w:pPr>
        <w:pStyle w:val="ListParagraph"/>
        <w:ind w:left="770"/>
        <w:jc w:val="both"/>
        <w:rPr>
          <w:rFonts w:ascii="Times New Roman" w:eastAsia="Times New Roman" w:hAnsi="Times New Roman" w:cs="Times New Roman"/>
          <w:sz w:val="24"/>
          <w:szCs w:val="24"/>
          <w:lang w:eastAsia="tr-TR"/>
        </w:rPr>
      </w:pPr>
    </w:p>
    <w:p w:rsidR="00F96A15" w:rsidRDefault="00F96A15" w:rsidP="0006161B">
      <w:pPr>
        <w:pStyle w:val="ListParagraph"/>
        <w:numPr>
          <w:ilvl w:val="1"/>
          <w:numId w:val="26"/>
        </w:numPr>
        <w:ind w:hanging="30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w:t>
      </w:r>
      <w:r w:rsidRPr="00CF5E3A">
        <w:rPr>
          <w:rFonts w:ascii="Times New Roman" w:eastAsia="Times New Roman" w:hAnsi="Times New Roman" w:cs="Times New Roman"/>
          <w:sz w:val="24"/>
          <w:szCs w:val="24"/>
          <w:lang w:eastAsia="tr-TR"/>
        </w:rPr>
        <w:t>arşı tarafı</w:t>
      </w:r>
      <w:r w:rsidR="004250A0">
        <w:rPr>
          <w:rFonts w:ascii="Times New Roman" w:eastAsia="Times New Roman" w:hAnsi="Times New Roman" w:cs="Times New Roman"/>
          <w:sz w:val="24"/>
          <w:szCs w:val="24"/>
          <w:lang w:eastAsia="tr-TR"/>
        </w:rPr>
        <w:t xml:space="preserve">nın </w:t>
      </w:r>
      <w:r w:rsidRPr="00CF5E3A">
        <w:rPr>
          <w:rFonts w:ascii="Times New Roman" w:eastAsia="Times New Roman" w:hAnsi="Times New Roman" w:cs="Times New Roman"/>
          <w:sz w:val="24"/>
          <w:szCs w:val="24"/>
          <w:lang w:eastAsia="tr-TR"/>
        </w:rPr>
        <w:t>denetim</w:t>
      </w:r>
      <w:r>
        <w:rPr>
          <w:rFonts w:ascii="Times New Roman" w:eastAsia="Times New Roman" w:hAnsi="Times New Roman" w:cs="Times New Roman"/>
          <w:sz w:val="24"/>
          <w:szCs w:val="24"/>
          <w:lang w:eastAsia="tr-TR"/>
        </w:rPr>
        <w:t>e</w:t>
      </w:r>
      <w:r w:rsidRPr="00CF5E3A">
        <w:rPr>
          <w:rFonts w:ascii="Times New Roman" w:eastAsia="Times New Roman" w:hAnsi="Times New Roman" w:cs="Times New Roman"/>
          <w:sz w:val="24"/>
          <w:szCs w:val="24"/>
          <w:lang w:eastAsia="tr-TR"/>
        </w:rPr>
        <w:t xml:space="preserve"> ve gözetime tabi finansal bir kurum (banka, aracı kurum v.b.) olması</w:t>
      </w:r>
      <w:r>
        <w:rPr>
          <w:rFonts w:ascii="Times New Roman" w:eastAsia="Times New Roman" w:hAnsi="Times New Roman" w:cs="Times New Roman"/>
          <w:sz w:val="24"/>
          <w:szCs w:val="24"/>
          <w:lang w:eastAsia="tr-TR"/>
        </w:rPr>
        <w:t>,</w:t>
      </w:r>
    </w:p>
    <w:p w:rsidR="00F96A15" w:rsidRPr="00E21A29" w:rsidRDefault="00F96A15" w:rsidP="0006161B">
      <w:pPr>
        <w:pStyle w:val="ListParagraph"/>
        <w:numPr>
          <w:ilvl w:val="1"/>
          <w:numId w:val="26"/>
        </w:numPr>
        <w:ind w:hanging="30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Karşı tarafın</w:t>
      </w:r>
      <w:r w:rsidR="008E4F8A">
        <w:rPr>
          <w:rFonts w:ascii="Times New Roman" w:eastAsia="Times New Roman" w:hAnsi="Times New Roman" w:cs="Times New Roman"/>
          <w:sz w:val="24"/>
          <w:szCs w:val="24"/>
          <w:lang w:eastAsia="tr-TR"/>
        </w:rPr>
        <w:t>ın</w:t>
      </w:r>
      <w:r>
        <w:rPr>
          <w:rFonts w:ascii="Times New Roman" w:eastAsia="Times New Roman" w:hAnsi="Times New Roman" w:cs="Times New Roman"/>
          <w:sz w:val="24"/>
          <w:szCs w:val="24"/>
          <w:lang w:eastAsia="tr-TR"/>
        </w:rPr>
        <w:t xml:space="preserve"> Fon </w:t>
      </w:r>
      <w:r w:rsidRPr="00E21A29">
        <w:rPr>
          <w:rFonts w:ascii="Times New Roman" w:eastAsia="Times New Roman" w:hAnsi="Times New Roman" w:cs="Times New Roman"/>
          <w:sz w:val="24"/>
          <w:szCs w:val="24"/>
          <w:lang w:eastAsia="tr-TR"/>
        </w:rPr>
        <w:t>Tebliği</w:t>
      </w:r>
      <w:r>
        <w:rPr>
          <w:rFonts w:ascii="Times New Roman" w:eastAsia="Times New Roman" w:hAnsi="Times New Roman" w:cs="Times New Roman"/>
          <w:sz w:val="24"/>
          <w:szCs w:val="24"/>
          <w:lang w:eastAsia="tr-TR"/>
        </w:rPr>
        <w:t>’</w:t>
      </w:r>
      <w:r w:rsidRPr="00E21A29">
        <w:rPr>
          <w:rFonts w:ascii="Times New Roman" w:eastAsia="Times New Roman" w:hAnsi="Times New Roman" w:cs="Times New Roman"/>
          <w:sz w:val="24"/>
          <w:szCs w:val="24"/>
          <w:lang w:eastAsia="tr-TR"/>
        </w:rPr>
        <w:t>n</w:t>
      </w:r>
      <w:r>
        <w:rPr>
          <w:rFonts w:ascii="Times New Roman" w:eastAsia="Times New Roman" w:hAnsi="Times New Roman" w:cs="Times New Roman"/>
          <w:sz w:val="24"/>
          <w:szCs w:val="24"/>
          <w:lang w:eastAsia="tr-TR"/>
        </w:rPr>
        <w:t>in 32'</w:t>
      </w:r>
      <w:r w:rsidRPr="00E21A29">
        <w:rPr>
          <w:rFonts w:ascii="Times New Roman" w:eastAsia="Times New Roman" w:hAnsi="Times New Roman" w:cs="Times New Roman"/>
          <w:sz w:val="24"/>
          <w:szCs w:val="24"/>
          <w:lang w:eastAsia="tr-TR"/>
        </w:rPr>
        <w:t>nci maddesin</w:t>
      </w:r>
      <w:r w:rsidR="008E4F8A">
        <w:rPr>
          <w:rFonts w:ascii="Times New Roman" w:eastAsia="Times New Roman" w:hAnsi="Times New Roman" w:cs="Times New Roman"/>
          <w:sz w:val="24"/>
          <w:szCs w:val="24"/>
          <w:lang w:eastAsia="tr-TR"/>
        </w:rPr>
        <w:t xml:space="preserve">de </w:t>
      </w:r>
      <w:r w:rsidRPr="00E21A29">
        <w:rPr>
          <w:rFonts w:ascii="Times New Roman" w:eastAsia="Times New Roman" w:hAnsi="Times New Roman" w:cs="Times New Roman"/>
          <w:sz w:val="24"/>
          <w:szCs w:val="24"/>
          <w:lang w:eastAsia="tr-TR"/>
        </w:rPr>
        <w:t>belirtilen der</w:t>
      </w:r>
      <w:r>
        <w:rPr>
          <w:rFonts w:ascii="Times New Roman" w:eastAsia="Times New Roman" w:hAnsi="Times New Roman" w:cs="Times New Roman"/>
          <w:sz w:val="24"/>
          <w:szCs w:val="24"/>
          <w:lang w:eastAsia="tr-TR"/>
        </w:rPr>
        <w:t>ecelendirme notuna sahip olması</w:t>
      </w:r>
      <w:r>
        <w:rPr>
          <w:rFonts w:ascii="Times New Roman" w:eastAsia="Times New Roman" w:hAnsi="Times New Roman" w:cs="Times New Roman"/>
          <w:bCs/>
          <w:sz w:val="24"/>
          <w:szCs w:val="24"/>
          <w:lang w:eastAsia="tr-TR"/>
        </w:rPr>
        <w:t>,</w:t>
      </w:r>
    </w:p>
    <w:p w:rsidR="00F96A15" w:rsidRDefault="00F96A15" w:rsidP="0006161B">
      <w:pPr>
        <w:pStyle w:val="ListParagraph"/>
        <w:numPr>
          <w:ilvl w:val="1"/>
          <w:numId w:val="26"/>
        </w:numPr>
        <w:ind w:hanging="306"/>
        <w:jc w:val="both"/>
        <w:rPr>
          <w:rFonts w:ascii="Times New Roman" w:eastAsia="Times New Roman" w:hAnsi="Times New Roman" w:cs="Times New Roman"/>
          <w:sz w:val="24"/>
          <w:szCs w:val="24"/>
          <w:lang w:eastAsia="tr-TR"/>
        </w:rPr>
      </w:pPr>
      <w:r w:rsidRPr="00E21A29">
        <w:rPr>
          <w:rFonts w:ascii="Times New Roman" w:eastAsia="Times New Roman" w:hAnsi="Times New Roman" w:cs="Times New Roman"/>
          <w:sz w:val="24"/>
          <w:szCs w:val="24"/>
          <w:lang w:eastAsia="tr-TR"/>
        </w:rPr>
        <w:t>Herhangi bir ilişkiden etkilenmeyecek şekild</w:t>
      </w:r>
      <w:r>
        <w:rPr>
          <w:rFonts w:ascii="Times New Roman" w:eastAsia="Times New Roman" w:hAnsi="Times New Roman" w:cs="Times New Roman"/>
          <w:sz w:val="24"/>
          <w:szCs w:val="24"/>
          <w:lang w:eastAsia="tr-TR"/>
        </w:rPr>
        <w:t>e objektif koşullarda yapılması ve</w:t>
      </w:r>
      <w:r w:rsidR="003B1E27">
        <w:rPr>
          <w:rFonts w:ascii="Times New Roman" w:eastAsia="Times New Roman" w:hAnsi="Times New Roman" w:cs="Times New Roman"/>
          <w:sz w:val="24"/>
          <w:szCs w:val="24"/>
          <w:lang w:eastAsia="tr-TR"/>
        </w:rPr>
        <w:t xml:space="preserve"> </w:t>
      </w:r>
      <w:r w:rsidRPr="00E21A29">
        <w:rPr>
          <w:rFonts w:ascii="Times New Roman" w:eastAsia="Times New Roman" w:hAnsi="Times New Roman" w:cs="Times New Roman"/>
          <w:sz w:val="24"/>
          <w:szCs w:val="24"/>
          <w:lang w:eastAsia="tr-TR"/>
        </w:rPr>
        <w:t>adil bir fiyat içermesi</w:t>
      </w:r>
      <w:r>
        <w:rPr>
          <w:rFonts w:ascii="Times New Roman" w:eastAsia="Times New Roman" w:hAnsi="Times New Roman" w:cs="Times New Roman"/>
          <w:sz w:val="24"/>
          <w:szCs w:val="24"/>
          <w:lang w:eastAsia="tr-TR"/>
        </w:rPr>
        <w:t>,</w:t>
      </w:r>
    </w:p>
    <w:p w:rsidR="00F96A15" w:rsidRPr="006E781D" w:rsidRDefault="00F96A15" w:rsidP="0006161B">
      <w:pPr>
        <w:pStyle w:val="ListParagraph"/>
        <w:numPr>
          <w:ilvl w:val="1"/>
          <w:numId w:val="26"/>
        </w:numPr>
        <w:ind w:hanging="306"/>
        <w:jc w:val="both"/>
        <w:rPr>
          <w:rFonts w:ascii="Times New Roman" w:eastAsia="Times New Roman" w:hAnsi="Times New Roman" w:cs="Times New Roman"/>
          <w:sz w:val="24"/>
          <w:szCs w:val="24"/>
          <w:lang w:eastAsia="tr-TR"/>
        </w:rPr>
      </w:pPr>
      <w:r w:rsidRPr="006E781D">
        <w:rPr>
          <w:rFonts w:ascii="Times New Roman" w:eastAsia="Times New Roman" w:hAnsi="Times New Roman" w:cs="Times New Roman"/>
          <w:sz w:val="24"/>
          <w:szCs w:val="24"/>
          <w:lang w:eastAsia="tr-TR"/>
        </w:rPr>
        <w:t>Fonun fiyat açıklama dönemlerinde “güvenilir” ve “doğrulanabilir” bir yöntem ile değerlenmesi,</w:t>
      </w:r>
    </w:p>
    <w:p w:rsidR="00F96A15" w:rsidRDefault="00F96A15" w:rsidP="0006161B">
      <w:pPr>
        <w:pStyle w:val="ListParagraph"/>
        <w:numPr>
          <w:ilvl w:val="1"/>
          <w:numId w:val="26"/>
        </w:numPr>
        <w:ind w:hanging="30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w:t>
      </w:r>
      <w:r w:rsidRPr="00E21A29">
        <w:rPr>
          <w:rFonts w:ascii="Times New Roman" w:eastAsia="Times New Roman" w:hAnsi="Times New Roman" w:cs="Times New Roman"/>
          <w:sz w:val="24"/>
          <w:szCs w:val="24"/>
          <w:lang w:eastAsia="tr-TR"/>
        </w:rPr>
        <w:t xml:space="preserve">onun fiyat açıklama dönemlerinde gerçeğe uygun değeri üzerinden nakde dönüştürülebilir </w:t>
      </w:r>
      <w:r>
        <w:rPr>
          <w:rFonts w:ascii="Times New Roman" w:eastAsia="Times New Roman" w:hAnsi="Times New Roman" w:cs="Times New Roman"/>
          <w:sz w:val="24"/>
          <w:szCs w:val="24"/>
          <w:lang w:eastAsia="tr-TR"/>
        </w:rPr>
        <w:t xml:space="preserve">ve sona erdirilebilir nitelikte </w:t>
      </w:r>
      <w:r w:rsidRPr="00E21A29">
        <w:rPr>
          <w:rFonts w:ascii="Times New Roman" w:eastAsia="Times New Roman" w:hAnsi="Times New Roman" w:cs="Times New Roman"/>
          <w:sz w:val="24"/>
          <w:szCs w:val="24"/>
          <w:lang w:eastAsia="tr-TR"/>
        </w:rPr>
        <w:t>olması</w:t>
      </w:r>
    </w:p>
    <w:p w:rsidR="003A0EC0" w:rsidRDefault="003A0EC0" w:rsidP="003A0EC0">
      <w:pPr>
        <w:pStyle w:val="ListParagraph"/>
        <w:ind w:left="1440"/>
        <w:jc w:val="both"/>
        <w:rPr>
          <w:rFonts w:ascii="Times New Roman" w:eastAsia="Times New Roman" w:hAnsi="Times New Roman" w:cs="Times New Roman"/>
          <w:sz w:val="24"/>
          <w:szCs w:val="24"/>
          <w:lang w:eastAsia="tr-TR"/>
        </w:rPr>
      </w:pPr>
    </w:p>
    <w:p w:rsidR="00F96A15" w:rsidRDefault="00F96A15" w:rsidP="00F96A15">
      <w:pPr>
        <w:pStyle w:val="ListParagraph"/>
        <w:jc w:val="both"/>
        <w:rPr>
          <w:rFonts w:ascii="Times New Roman" w:eastAsia="Times New Roman" w:hAnsi="Times New Roman" w:cs="Times New Roman"/>
          <w:sz w:val="24"/>
          <w:szCs w:val="24"/>
          <w:lang w:eastAsia="tr-TR"/>
        </w:rPr>
      </w:pPr>
      <w:r w:rsidRPr="00E21A29">
        <w:rPr>
          <w:rFonts w:ascii="Times New Roman" w:eastAsia="Times New Roman" w:hAnsi="Times New Roman" w:cs="Times New Roman"/>
          <w:sz w:val="24"/>
          <w:szCs w:val="24"/>
          <w:lang w:eastAsia="tr-TR"/>
        </w:rPr>
        <w:t>zorunludur.</w:t>
      </w:r>
    </w:p>
    <w:p w:rsidR="002C0364" w:rsidRDefault="002C0364" w:rsidP="00F96A15">
      <w:pPr>
        <w:pStyle w:val="ListParagraph"/>
        <w:jc w:val="both"/>
        <w:rPr>
          <w:rFonts w:ascii="Times New Roman" w:eastAsia="Times New Roman" w:hAnsi="Times New Roman" w:cs="Times New Roman"/>
          <w:sz w:val="24"/>
          <w:szCs w:val="24"/>
          <w:lang w:eastAsia="tr-TR"/>
        </w:rPr>
      </w:pPr>
    </w:p>
    <w:p w:rsidR="00EC4798" w:rsidRDefault="00F92377" w:rsidP="0006161B">
      <w:pPr>
        <w:pStyle w:val="ListParagraph"/>
        <w:numPr>
          <w:ilvl w:val="0"/>
          <w:numId w:val="69"/>
        </w:numPr>
        <w:jc w:val="both"/>
        <w:rPr>
          <w:rFonts w:ascii="Times New Roman" w:hAnsi="Times New Roman" w:cs="Times New Roman"/>
          <w:sz w:val="24"/>
          <w:szCs w:val="24"/>
        </w:rPr>
      </w:pPr>
      <w:r>
        <w:rPr>
          <w:rFonts w:ascii="Times New Roman" w:hAnsi="Times New Roman" w:cs="Times New Roman"/>
          <w:sz w:val="24"/>
          <w:szCs w:val="24"/>
        </w:rPr>
        <w:t>Garantili ve koruma amaçlı fonlar</w:t>
      </w:r>
      <w:r w:rsidR="00EC4798">
        <w:rPr>
          <w:rFonts w:ascii="Times New Roman" w:hAnsi="Times New Roman" w:cs="Times New Roman"/>
          <w:sz w:val="24"/>
          <w:szCs w:val="24"/>
        </w:rPr>
        <w:t>a ilişkin olarak;</w:t>
      </w:r>
    </w:p>
    <w:p w:rsidR="003A0EC0" w:rsidRDefault="003A0EC0" w:rsidP="003A0EC0">
      <w:pPr>
        <w:pStyle w:val="ListParagraph"/>
        <w:ind w:left="770"/>
        <w:jc w:val="both"/>
        <w:rPr>
          <w:rFonts w:ascii="Times New Roman" w:hAnsi="Times New Roman" w:cs="Times New Roman"/>
          <w:sz w:val="24"/>
          <w:szCs w:val="24"/>
        </w:rPr>
      </w:pPr>
    </w:p>
    <w:p w:rsidR="00F92377" w:rsidRDefault="00EC4798" w:rsidP="0006161B">
      <w:pPr>
        <w:pStyle w:val="ListParagraph"/>
        <w:numPr>
          <w:ilvl w:val="0"/>
          <w:numId w:val="67"/>
        </w:numPr>
        <w:shd w:val="clear" w:color="auto" w:fill="FFFFFF"/>
        <w:tabs>
          <w:tab w:val="left" w:pos="709"/>
        </w:tabs>
        <w:spacing w:after="0" w:line="255" w:lineRule="atLeast"/>
        <w:ind w:left="1418"/>
        <w:jc w:val="both"/>
        <w:rPr>
          <w:rFonts w:ascii="Times New Roman" w:hAnsi="Times New Roman" w:cs="Times New Roman"/>
          <w:sz w:val="24"/>
          <w:szCs w:val="24"/>
        </w:rPr>
      </w:pPr>
      <w:r>
        <w:rPr>
          <w:rFonts w:ascii="Times New Roman" w:hAnsi="Times New Roman" w:cs="Times New Roman"/>
          <w:sz w:val="24"/>
          <w:szCs w:val="24"/>
        </w:rPr>
        <w:t xml:space="preserve">Bu bölümün </w:t>
      </w:r>
      <w:r w:rsidR="00F92377" w:rsidRPr="00EC4798">
        <w:rPr>
          <w:rFonts w:ascii="Times New Roman" w:hAnsi="Times New Roman" w:cs="Times New Roman"/>
          <w:sz w:val="24"/>
          <w:szCs w:val="24"/>
        </w:rPr>
        <w:t>(</w:t>
      </w:r>
      <w:r>
        <w:rPr>
          <w:rFonts w:ascii="Times New Roman" w:hAnsi="Times New Roman" w:cs="Times New Roman"/>
          <w:sz w:val="24"/>
          <w:szCs w:val="24"/>
        </w:rPr>
        <w:t>a</w:t>
      </w:r>
      <w:r w:rsidR="00F92377" w:rsidRPr="00EC4798">
        <w:rPr>
          <w:rFonts w:ascii="Times New Roman" w:hAnsi="Times New Roman" w:cs="Times New Roman"/>
          <w:sz w:val="24"/>
          <w:szCs w:val="24"/>
        </w:rPr>
        <w:t xml:space="preserve">) bendinde öngörülen şart opsiyon dışındaki türev araçlar için uygulanır. </w:t>
      </w:r>
    </w:p>
    <w:p w:rsidR="00EC4798" w:rsidRPr="00EC4798" w:rsidRDefault="00EC4798" w:rsidP="0006161B">
      <w:pPr>
        <w:pStyle w:val="ListParagraph"/>
        <w:numPr>
          <w:ilvl w:val="0"/>
          <w:numId w:val="67"/>
        </w:numPr>
        <w:shd w:val="clear" w:color="auto" w:fill="FFFFFF"/>
        <w:tabs>
          <w:tab w:val="left" w:pos="709"/>
        </w:tabs>
        <w:spacing w:after="0" w:line="255" w:lineRule="atLeast"/>
        <w:ind w:left="1418"/>
        <w:jc w:val="both"/>
        <w:rPr>
          <w:rFonts w:ascii="Times New Roman" w:hAnsi="Times New Roman" w:cs="Times New Roman"/>
          <w:sz w:val="24"/>
          <w:szCs w:val="24"/>
        </w:rPr>
      </w:pPr>
      <w:r>
        <w:rPr>
          <w:rFonts w:ascii="Times New Roman" w:eastAsia="Times New Roman" w:hAnsi="Times New Roman" w:cs="Times New Roman"/>
          <w:sz w:val="24"/>
          <w:szCs w:val="24"/>
          <w:lang w:eastAsia="tr-TR"/>
        </w:rPr>
        <w:t>Borsa dışı türev araç ve swap</w:t>
      </w:r>
      <w:r w:rsidRPr="00EC4798">
        <w:rPr>
          <w:rFonts w:ascii="Times New Roman" w:eastAsia="Times New Roman" w:hAnsi="Times New Roman" w:cs="Times New Roman"/>
          <w:sz w:val="24"/>
          <w:szCs w:val="24"/>
          <w:lang w:eastAsia="tr-TR"/>
        </w:rPr>
        <w:t xml:space="preserve"> sözleşmeler</w:t>
      </w:r>
      <w:r>
        <w:rPr>
          <w:rFonts w:ascii="Times New Roman" w:eastAsia="Times New Roman" w:hAnsi="Times New Roman" w:cs="Times New Roman"/>
          <w:sz w:val="24"/>
          <w:szCs w:val="24"/>
          <w:lang w:eastAsia="tr-TR"/>
        </w:rPr>
        <w:t>i</w:t>
      </w:r>
      <w:r w:rsidR="009342FB">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fon </w:t>
      </w:r>
      <w:r w:rsidRPr="00EC4798">
        <w:rPr>
          <w:rFonts w:ascii="Times New Roman" w:eastAsia="Times New Roman" w:hAnsi="Times New Roman" w:cs="Times New Roman"/>
          <w:sz w:val="24"/>
          <w:szCs w:val="24"/>
          <w:lang w:eastAsia="tr-TR"/>
        </w:rPr>
        <w:t>portföy</w:t>
      </w:r>
      <w:r>
        <w:rPr>
          <w:rFonts w:ascii="Times New Roman" w:eastAsia="Times New Roman" w:hAnsi="Times New Roman" w:cs="Times New Roman"/>
          <w:sz w:val="24"/>
          <w:szCs w:val="24"/>
          <w:lang w:eastAsia="tr-TR"/>
        </w:rPr>
        <w:t>ün</w:t>
      </w:r>
      <w:r w:rsidRPr="00EC4798">
        <w:rPr>
          <w:rFonts w:ascii="Times New Roman" w:eastAsia="Times New Roman" w:hAnsi="Times New Roman" w:cs="Times New Roman"/>
          <w:sz w:val="24"/>
          <w:szCs w:val="24"/>
          <w:lang w:eastAsia="tr-TR"/>
        </w:rPr>
        <w:t xml:space="preserve">e dahil edilmeden önce en az üç farklı kurumdan fiyat teklifi alınmalı ve alınan teklifleri tevsik edici belgeler Kurucu/Yönetici nezdinde saklanmalıdır. </w:t>
      </w:r>
      <w:r>
        <w:rPr>
          <w:rFonts w:ascii="Times New Roman" w:eastAsia="Times New Roman" w:hAnsi="Times New Roman" w:cs="Times New Roman"/>
          <w:sz w:val="24"/>
          <w:szCs w:val="24"/>
          <w:lang w:eastAsia="tr-TR"/>
        </w:rPr>
        <w:t>Bununla birlikte</w:t>
      </w:r>
      <w:r w:rsidRPr="00EC4798">
        <w:rPr>
          <w:rFonts w:ascii="Times New Roman" w:eastAsia="Times New Roman" w:hAnsi="Times New Roman" w:cs="Times New Roman"/>
          <w:sz w:val="24"/>
          <w:szCs w:val="24"/>
          <w:lang w:eastAsia="tr-TR"/>
        </w:rPr>
        <w:t xml:space="preserve">, </w:t>
      </w:r>
      <w:r w:rsidR="004250A0">
        <w:rPr>
          <w:rFonts w:ascii="Times New Roman" w:eastAsia="Times New Roman" w:hAnsi="Times New Roman" w:cs="Times New Roman"/>
          <w:sz w:val="24"/>
          <w:szCs w:val="24"/>
          <w:lang w:eastAsia="tr-TR"/>
        </w:rPr>
        <w:t>f</w:t>
      </w:r>
      <w:r w:rsidR="004250A0" w:rsidRPr="00EC4798">
        <w:rPr>
          <w:rFonts w:ascii="Times New Roman" w:eastAsia="Times New Roman" w:hAnsi="Times New Roman" w:cs="Times New Roman"/>
          <w:sz w:val="24"/>
          <w:szCs w:val="24"/>
          <w:lang w:eastAsia="tr-TR"/>
        </w:rPr>
        <w:t xml:space="preserve">on </w:t>
      </w:r>
      <w:r w:rsidRPr="00EC4798">
        <w:rPr>
          <w:rFonts w:ascii="Times New Roman" w:eastAsia="Times New Roman" w:hAnsi="Times New Roman" w:cs="Times New Roman"/>
          <w:sz w:val="24"/>
          <w:szCs w:val="24"/>
          <w:lang w:eastAsia="tr-TR"/>
        </w:rPr>
        <w:t xml:space="preserve">portföyüne dahil edilen sözleşmelerin niteliğine bağlı olarak, haklı gerekçelerin varlığı halinde, farklı kurumlardan fiyat teklifi alınmasına ilişkin şart uygulanmayabilir. </w:t>
      </w:r>
    </w:p>
    <w:p w:rsidR="00EC4798" w:rsidRPr="003A0EC0" w:rsidRDefault="00EC4798" w:rsidP="0006161B">
      <w:pPr>
        <w:pStyle w:val="ListParagraph"/>
        <w:numPr>
          <w:ilvl w:val="0"/>
          <w:numId w:val="67"/>
        </w:numPr>
        <w:shd w:val="clear" w:color="auto" w:fill="FFFFFF"/>
        <w:tabs>
          <w:tab w:val="left" w:pos="709"/>
        </w:tabs>
        <w:spacing w:after="0" w:line="255" w:lineRule="atLeast"/>
        <w:ind w:left="1418"/>
        <w:jc w:val="both"/>
        <w:rPr>
          <w:rFonts w:ascii="Times New Roman" w:hAnsi="Times New Roman" w:cs="Times New Roman"/>
          <w:sz w:val="24"/>
          <w:szCs w:val="24"/>
        </w:rPr>
      </w:pPr>
      <w:r w:rsidRPr="00EC4798">
        <w:rPr>
          <w:rFonts w:ascii="Times New Roman" w:eastAsia="Times New Roman" w:hAnsi="Times New Roman" w:cs="Times New Roman"/>
          <w:sz w:val="24"/>
          <w:szCs w:val="24"/>
          <w:lang w:eastAsia="tr-TR"/>
        </w:rPr>
        <w:t xml:space="preserve">Fon portföyüne borsa dışından, dayanağı endeks olan türev araçların dahil edilmesi halinde; </w:t>
      </w:r>
    </w:p>
    <w:p w:rsidR="003A0EC0" w:rsidRPr="00EC4798" w:rsidRDefault="003A0EC0" w:rsidP="003A0EC0">
      <w:pPr>
        <w:pStyle w:val="ListParagraph"/>
        <w:shd w:val="clear" w:color="auto" w:fill="FFFFFF"/>
        <w:tabs>
          <w:tab w:val="left" w:pos="709"/>
        </w:tabs>
        <w:spacing w:after="0" w:line="255" w:lineRule="atLeast"/>
        <w:ind w:left="1418"/>
        <w:jc w:val="both"/>
        <w:rPr>
          <w:rFonts w:ascii="Times New Roman" w:hAnsi="Times New Roman" w:cs="Times New Roman"/>
          <w:sz w:val="24"/>
          <w:szCs w:val="24"/>
        </w:rPr>
      </w:pPr>
    </w:p>
    <w:p w:rsidR="00EC4798" w:rsidRPr="00011D98" w:rsidRDefault="00EC4798" w:rsidP="0006161B">
      <w:pPr>
        <w:pStyle w:val="ListParagraph"/>
        <w:numPr>
          <w:ilvl w:val="0"/>
          <w:numId w:val="46"/>
        </w:numPr>
        <w:shd w:val="clear" w:color="auto" w:fill="FFFFFF"/>
        <w:tabs>
          <w:tab w:val="left" w:pos="1985"/>
        </w:tabs>
        <w:spacing w:after="0" w:line="255" w:lineRule="atLeast"/>
        <w:ind w:left="1560" w:hanging="283"/>
        <w:jc w:val="both"/>
        <w:rPr>
          <w:rFonts w:ascii="Times New Roman" w:eastAsia="Times New Roman" w:hAnsi="Times New Roman" w:cs="Times New Roman"/>
          <w:sz w:val="24"/>
          <w:szCs w:val="24"/>
          <w:lang w:eastAsia="tr-TR"/>
        </w:rPr>
      </w:pPr>
      <w:r w:rsidRPr="00011D98">
        <w:rPr>
          <w:rFonts w:ascii="Times New Roman" w:hAnsi="Times New Roman" w:cs="Times New Roman"/>
          <w:sz w:val="24"/>
          <w:szCs w:val="24"/>
        </w:rPr>
        <w:t>Endeksi oluşturan kurumun</w:t>
      </w:r>
      <w:r w:rsidR="00BF3704" w:rsidRPr="00011D98">
        <w:rPr>
          <w:rFonts w:ascii="Times New Roman" w:hAnsi="Times New Roman" w:cs="Times New Roman"/>
          <w:sz w:val="24"/>
          <w:szCs w:val="24"/>
        </w:rPr>
        <w:t xml:space="preserve">, </w:t>
      </w:r>
      <w:r w:rsidRPr="00011D98">
        <w:rPr>
          <w:rFonts w:ascii="Times New Roman" w:hAnsi="Times New Roman" w:cs="Times New Roman"/>
          <w:sz w:val="24"/>
          <w:szCs w:val="24"/>
        </w:rPr>
        <w:t>fonun yöneticisinden bağımsız</w:t>
      </w:r>
      <w:r w:rsidR="00165A91" w:rsidRPr="00011D98">
        <w:rPr>
          <w:rFonts w:ascii="Times New Roman" w:hAnsi="Times New Roman" w:cs="Times New Roman"/>
          <w:sz w:val="24"/>
          <w:szCs w:val="24"/>
        </w:rPr>
        <w:t xml:space="preserve"> </w:t>
      </w:r>
      <w:r w:rsidRPr="00011D98">
        <w:rPr>
          <w:rFonts w:ascii="Times New Roman" w:hAnsi="Times New Roman" w:cs="Times New Roman"/>
          <w:sz w:val="24"/>
          <w:szCs w:val="24"/>
        </w:rPr>
        <w:t xml:space="preserve">olması, </w:t>
      </w:r>
    </w:p>
    <w:p w:rsidR="00EC4798" w:rsidRDefault="00EC4798" w:rsidP="0006161B">
      <w:pPr>
        <w:pStyle w:val="ListParagraph"/>
        <w:numPr>
          <w:ilvl w:val="0"/>
          <w:numId w:val="46"/>
        </w:numPr>
        <w:shd w:val="clear" w:color="auto" w:fill="FFFFFF"/>
        <w:tabs>
          <w:tab w:val="left" w:pos="1985"/>
        </w:tabs>
        <w:spacing w:after="0" w:line="255" w:lineRule="atLeast"/>
        <w:ind w:left="1560" w:hanging="283"/>
        <w:jc w:val="both"/>
        <w:rPr>
          <w:rFonts w:ascii="Times New Roman" w:hAnsi="Times New Roman" w:cs="Times New Roman"/>
          <w:sz w:val="24"/>
          <w:szCs w:val="24"/>
        </w:rPr>
      </w:pPr>
      <w:r w:rsidRPr="00227A5C">
        <w:rPr>
          <w:rFonts w:ascii="Times New Roman" w:hAnsi="Times New Roman" w:cs="Times New Roman"/>
          <w:sz w:val="24"/>
          <w:szCs w:val="24"/>
        </w:rPr>
        <w:t xml:space="preserve">Endeks kurallarına ilişkin genel bilgilere (endeksin kompozisyonuna, endekste değişiklik yapılmasına, endeksin hesaplanmasına vb. ilişkin genel bilgiler) </w:t>
      </w:r>
      <w:r>
        <w:rPr>
          <w:rFonts w:ascii="Times New Roman" w:hAnsi="Times New Roman" w:cs="Times New Roman"/>
          <w:sz w:val="24"/>
          <w:szCs w:val="24"/>
        </w:rPr>
        <w:t>fon izahnamesinde yer verilmesi,</w:t>
      </w:r>
    </w:p>
    <w:p w:rsidR="00EC4798" w:rsidRDefault="00EC4798" w:rsidP="0006161B">
      <w:pPr>
        <w:pStyle w:val="ListParagraph"/>
        <w:numPr>
          <w:ilvl w:val="0"/>
          <w:numId w:val="46"/>
        </w:numPr>
        <w:shd w:val="clear" w:color="auto" w:fill="FFFFFF"/>
        <w:tabs>
          <w:tab w:val="left" w:pos="1985"/>
        </w:tabs>
        <w:spacing w:after="0" w:line="255" w:lineRule="atLeast"/>
        <w:ind w:left="1560" w:hanging="283"/>
        <w:jc w:val="both"/>
        <w:rPr>
          <w:rFonts w:ascii="Times New Roman" w:hAnsi="Times New Roman" w:cs="Times New Roman"/>
          <w:sz w:val="24"/>
          <w:szCs w:val="24"/>
        </w:rPr>
      </w:pPr>
      <w:r>
        <w:rPr>
          <w:rFonts w:ascii="Times New Roman" w:hAnsi="Times New Roman" w:cs="Times New Roman"/>
          <w:sz w:val="24"/>
          <w:szCs w:val="24"/>
        </w:rPr>
        <w:t>Endeks bileşenlerinin fiyatlarının türev aracın değerlenmesine imkan verecek ölçüde hesaplanabilir nitelikte olması</w:t>
      </w:r>
    </w:p>
    <w:p w:rsidR="003A0EC0" w:rsidRDefault="003A0EC0" w:rsidP="003A0EC0">
      <w:pPr>
        <w:pStyle w:val="ListParagraph"/>
        <w:shd w:val="clear" w:color="auto" w:fill="FFFFFF"/>
        <w:tabs>
          <w:tab w:val="left" w:pos="1985"/>
        </w:tabs>
        <w:spacing w:after="0" w:line="255" w:lineRule="atLeast"/>
        <w:ind w:left="1560"/>
        <w:jc w:val="both"/>
        <w:rPr>
          <w:rFonts w:ascii="Times New Roman" w:hAnsi="Times New Roman" w:cs="Times New Roman"/>
          <w:sz w:val="24"/>
          <w:szCs w:val="24"/>
        </w:rPr>
      </w:pPr>
    </w:p>
    <w:p w:rsidR="00EC4798" w:rsidRPr="00FF0603" w:rsidRDefault="00EC4798" w:rsidP="003A0EC0">
      <w:pPr>
        <w:pStyle w:val="ListParagraph"/>
        <w:shd w:val="clear" w:color="auto" w:fill="FFFFFF"/>
        <w:tabs>
          <w:tab w:val="left" w:pos="709"/>
        </w:tabs>
        <w:spacing w:after="0" w:line="255" w:lineRule="atLeast"/>
        <w:ind w:left="1418" w:hanging="425"/>
        <w:jc w:val="both"/>
        <w:rPr>
          <w:rFonts w:ascii="Times New Roman" w:hAnsi="Times New Roman" w:cs="Times New Roman"/>
          <w:sz w:val="24"/>
          <w:szCs w:val="24"/>
        </w:rPr>
      </w:pPr>
      <w:r w:rsidRPr="00FF0603">
        <w:rPr>
          <w:rFonts w:ascii="Times New Roman" w:hAnsi="Times New Roman" w:cs="Times New Roman"/>
          <w:sz w:val="24"/>
          <w:szCs w:val="24"/>
        </w:rPr>
        <w:t>gerekir.</w:t>
      </w:r>
    </w:p>
    <w:p w:rsidR="00FF0603" w:rsidRDefault="00FF0603" w:rsidP="00FF0603">
      <w:pPr>
        <w:shd w:val="clear" w:color="auto" w:fill="FFFFFF"/>
        <w:tabs>
          <w:tab w:val="left" w:pos="709"/>
        </w:tabs>
        <w:spacing w:after="0" w:line="255" w:lineRule="atLeast"/>
        <w:ind w:left="708"/>
        <w:jc w:val="both"/>
        <w:rPr>
          <w:rFonts w:ascii="Times New Roman" w:hAnsi="Times New Roman" w:cs="Times New Roman"/>
          <w:sz w:val="24"/>
          <w:szCs w:val="24"/>
        </w:rPr>
      </w:pPr>
      <w:r>
        <w:rPr>
          <w:rFonts w:ascii="Times New Roman" w:hAnsi="Times New Roman" w:cs="Times New Roman"/>
          <w:sz w:val="24"/>
          <w:szCs w:val="24"/>
        </w:rPr>
        <w:tab/>
      </w:r>
    </w:p>
    <w:p w:rsidR="00235FF3" w:rsidRPr="00FF0603" w:rsidRDefault="00FF0603" w:rsidP="00FF0603">
      <w:pPr>
        <w:shd w:val="clear" w:color="auto" w:fill="FFFFFF"/>
        <w:tabs>
          <w:tab w:val="left" w:pos="709"/>
        </w:tabs>
        <w:spacing w:after="0" w:line="255" w:lineRule="atLeast"/>
        <w:ind w:left="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35FF3" w:rsidRPr="00FF0603">
        <w:rPr>
          <w:rFonts w:ascii="Times New Roman" w:hAnsi="Times New Roman" w:cs="Times New Roman"/>
          <w:sz w:val="24"/>
          <w:szCs w:val="24"/>
        </w:rPr>
        <w:t xml:space="preserve">Öte yandan, yatırımcıların </w:t>
      </w:r>
      <w:r w:rsidR="009F650E" w:rsidRPr="00FF0603">
        <w:rPr>
          <w:rFonts w:ascii="Times New Roman" w:hAnsi="Times New Roman" w:cs="Times New Roman"/>
          <w:sz w:val="24"/>
          <w:szCs w:val="24"/>
        </w:rPr>
        <w:t xml:space="preserve">hak ve menfaatlerinin </w:t>
      </w:r>
      <w:r w:rsidR="00235FF3" w:rsidRPr="00FF0603">
        <w:rPr>
          <w:rFonts w:ascii="Times New Roman" w:hAnsi="Times New Roman" w:cs="Times New Roman"/>
          <w:sz w:val="24"/>
          <w:szCs w:val="24"/>
        </w:rPr>
        <w:t xml:space="preserve">korunması </w:t>
      </w:r>
      <w:r w:rsidR="009F650E" w:rsidRPr="00FF0603">
        <w:rPr>
          <w:rFonts w:ascii="Times New Roman" w:hAnsi="Times New Roman" w:cs="Times New Roman"/>
          <w:sz w:val="24"/>
          <w:szCs w:val="24"/>
        </w:rPr>
        <w:t xml:space="preserve">amacı </w:t>
      </w:r>
      <w:r w:rsidR="00235FF3" w:rsidRPr="00FF0603">
        <w:rPr>
          <w:rFonts w:ascii="Times New Roman" w:hAnsi="Times New Roman" w:cs="Times New Roman"/>
          <w:sz w:val="24"/>
          <w:szCs w:val="24"/>
        </w:rPr>
        <w:t>ile opsiyonun dayanak varlığı olan endekslere ilişkin olarak Kurulca başvuru bazında ilave şartlar aranabilir.</w:t>
      </w:r>
    </w:p>
    <w:p w:rsidR="002E66BB" w:rsidRDefault="002E66BB" w:rsidP="00EC4798">
      <w:pPr>
        <w:pStyle w:val="ListParagraph"/>
        <w:shd w:val="clear" w:color="auto" w:fill="FFFFFF"/>
        <w:tabs>
          <w:tab w:val="left" w:pos="709"/>
        </w:tabs>
        <w:spacing w:after="0" w:line="255" w:lineRule="atLeast"/>
        <w:ind w:left="1134" w:hanging="425"/>
        <w:jc w:val="both"/>
        <w:rPr>
          <w:rFonts w:ascii="Times New Roman" w:hAnsi="Times New Roman" w:cs="Times New Roman"/>
          <w:sz w:val="24"/>
          <w:szCs w:val="24"/>
        </w:rPr>
      </w:pPr>
    </w:p>
    <w:p w:rsidR="0036177E" w:rsidRPr="0036177E" w:rsidRDefault="0036177E" w:rsidP="00435994">
      <w:pPr>
        <w:pStyle w:val="ListParagraph"/>
        <w:numPr>
          <w:ilvl w:val="0"/>
          <w:numId w:val="69"/>
        </w:numPr>
        <w:jc w:val="both"/>
        <w:rPr>
          <w:rFonts w:ascii="Times New Roman" w:eastAsia="Times New Roman" w:hAnsi="Times New Roman" w:cs="Times New Roman"/>
          <w:sz w:val="24"/>
          <w:szCs w:val="24"/>
          <w:lang w:eastAsia="tr-TR"/>
        </w:rPr>
      </w:pPr>
      <w:r w:rsidRPr="00435994">
        <w:rPr>
          <w:rFonts w:ascii="Times New Roman" w:eastAsia="Times New Roman" w:hAnsi="Times New Roman" w:cs="Times New Roman"/>
          <w:sz w:val="24"/>
          <w:szCs w:val="24"/>
          <w:lang w:eastAsia="tr-TR"/>
        </w:rPr>
        <w:t>Borsa dışında taraf olunan türev araç ve swap sözleşmeleri için karşı taraftan teminat alınması halinde alınan teminatlar aşağıdaki şartları taşımalıdır:</w:t>
      </w:r>
    </w:p>
    <w:p w:rsidR="0036177E" w:rsidRDefault="0036177E" w:rsidP="0036177E">
      <w:pPr>
        <w:pStyle w:val="ListParagraph"/>
        <w:rPr>
          <w:rFonts w:ascii="Times New Roman" w:eastAsia="Times New Roman" w:hAnsi="Times New Roman" w:cs="Times New Roman"/>
          <w:sz w:val="24"/>
          <w:szCs w:val="24"/>
          <w:lang w:eastAsia="tr-TR"/>
        </w:rPr>
      </w:pPr>
    </w:p>
    <w:p w:rsidR="0036177E" w:rsidRPr="00BD2ED0" w:rsidRDefault="0036177E" w:rsidP="0006161B">
      <w:pPr>
        <w:numPr>
          <w:ilvl w:val="0"/>
          <w:numId w:val="27"/>
        </w:numPr>
        <w:shd w:val="clear" w:color="auto" w:fill="FFFFFF"/>
        <w:spacing w:before="45" w:after="150" w:line="255"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N</w:t>
      </w:r>
      <w:r w:rsidRPr="001940D5">
        <w:rPr>
          <w:rFonts w:ascii="Times New Roman" w:eastAsia="Times New Roman" w:hAnsi="Times New Roman" w:cs="Times New Roman"/>
          <w:sz w:val="24"/>
          <w:szCs w:val="24"/>
          <w:lang w:eastAsia="tr-TR"/>
        </w:rPr>
        <w:t>akit</w:t>
      </w:r>
      <w:r>
        <w:rPr>
          <w:rFonts w:ascii="Times New Roman" w:eastAsia="Times New Roman" w:hAnsi="Times New Roman" w:cs="Times New Roman"/>
          <w:sz w:val="24"/>
          <w:szCs w:val="24"/>
          <w:lang w:eastAsia="tr-TR"/>
        </w:rPr>
        <w:t xml:space="preserve">, para piyasası fonu ile kısa vadeli borçlanma araçları fonu </w:t>
      </w:r>
      <w:r w:rsidRPr="001940D5">
        <w:rPr>
          <w:rFonts w:ascii="Times New Roman" w:eastAsia="Times New Roman" w:hAnsi="Times New Roman" w:cs="Times New Roman"/>
          <w:sz w:val="24"/>
          <w:szCs w:val="24"/>
          <w:lang w:eastAsia="tr-TR"/>
        </w:rPr>
        <w:t xml:space="preserve">katılma payları </w:t>
      </w:r>
      <w:r>
        <w:rPr>
          <w:rFonts w:ascii="Times New Roman" w:eastAsia="Times New Roman" w:hAnsi="Times New Roman" w:cs="Times New Roman"/>
          <w:sz w:val="24"/>
          <w:szCs w:val="24"/>
          <w:lang w:eastAsia="tr-TR"/>
        </w:rPr>
        <w:t xml:space="preserve">ve yüksek likiditeye sahip </w:t>
      </w:r>
      <w:r w:rsidRPr="001940D5">
        <w:rPr>
          <w:rFonts w:ascii="Times New Roman" w:eastAsia="Times New Roman" w:hAnsi="Times New Roman" w:cs="Times New Roman"/>
          <w:sz w:val="24"/>
          <w:szCs w:val="24"/>
          <w:lang w:eastAsia="tr-TR"/>
        </w:rPr>
        <w:t>kamu borçlanma araçları</w:t>
      </w:r>
      <w:r>
        <w:rPr>
          <w:rFonts w:ascii="Times New Roman" w:eastAsia="Times New Roman" w:hAnsi="Times New Roman" w:cs="Times New Roman"/>
          <w:sz w:val="24"/>
          <w:szCs w:val="24"/>
          <w:lang w:eastAsia="tr-TR"/>
        </w:rPr>
        <w:t xml:space="preserve"> ve</w:t>
      </w:r>
      <w:r w:rsidR="00453BB9">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para piyasası araçları </w:t>
      </w:r>
      <w:r w:rsidRPr="001940D5">
        <w:rPr>
          <w:rFonts w:ascii="Times New Roman" w:eastAsia="Times New Roman" w:hAnsi="Times New Roman" w:cs="Times New Roman"/>
          <w:sz w:val="24"/>
          <w:szCs w:val="24"/>
          <w:lang w:eastAsia="tr-TR"/>
        </w:rPr>
        <w:t>teminat olarak kabul edilebilir</w:t>
      </w:r>
      <w:r>
        <w:rPr>
          <w:rFonts w:ascii="Times New Roman" w:eastAsia="Times New Roman" w:hAnsi="Times New Roman" w:cs="Times New Roman"/>
          <w:sz w:val="24"/>
          <w:szCs w:val="24"/>
          <w:lang w:eastAsia="tr-TR"/>
        </w:rPr>
        <w:t>.</w:t>
      </w:r>
    </w:p>
    <w:p w:rsidR="0036177E" w:rsidRPr="006A1B34" w:rsidRDefault="0036177E" w:rsidP="0006161B">
      <w:pPr>
        <w:numPr>
          <w:ilvl w:val="0"/>
          <w:numId w:val="27"/>
        </w:numPr>
        <w:shd w:val="clear" w:color="auto" w:fill="FFFFFF"/>
        <w:spacing w:before="45" w:after="150" w:line="255"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İşlemin karşı tarafının yurtiçinde yerleşik bir kurum olduğu durumda teminat Takasbank’ta fon adına bloke edilir. İşlemin karşı tarafının yurtdışında yerleşik bir kurum olduğu durumda ise portföy saklayıcısı tarafından teminatın varlığına ilişkin teyit yapılabilmesi kaydıyla yurtdışında yetkili bir kurumda </w:t>
      </w:r>
      <w:r w:rsidRPr="006A1B34">
        <w:rPr>
          <w:rFonts w:ascii="Times New Roman" w:eastAsia="Times New Roman" w:hAnsi="Times New Roman" w:cs="Times New Roman"/>
          <w:sz w:val="24"/>
          <w:szCs w:val="24"/>
          <w:lang w:eastAsia="tr-TR"/>
        </w:rPr>
        <w:t xml:space="preserve">fon adına bloke edilir. </w:t>
      </w:r>
    </w:p>
    <w:p w:rsidR="0036177E" w:rsidRPr="00F96A15" w:rsidRDefault="0036177E" w:rsidP="0006161B">
      <w:pPr>
        <w:numPr>
          <w:ilvl w:val="0"/>
          <w:numId w:val="27"/>
        </w:numPr>
        <w:shd w:val="clear" w:color="auto" w:fill="FFFFFF"/>
        <w:spacing w:before="45" w:after="150" w:line="255" w:lineRule="atLeast"/>
        <w:jc w:val="both"/>
        <w:rPr>
          <w:lang w:eastAsia="tr-TR"/>
        </w:rPr>
      </w:pPr>
      <w:r>
        <w:rPr>
          <w:rFonts w:ascii="Times New Roman" w:eastAsia="Times New Roman" w:hAnsi="Times New Roman" w:cs="Times New Roman"/>
          <w:sz w:val="24"/>
          <w:szCs w:val="24"/>
          <w:lang w:eastAsia="tr-TR"/>
        </w:rPr>
        <w:t>K</w:t>
      </w:r>
      <w:r w:rsidRPr="008F0193">
        <w:rPr>
          <w:rFonts w:ascii="Times New Roman" w:eastAsia="Times New Roman" w:hAnsi="Times New Roman" w:cs="Times New Roman"/>
          <w:sz w:val="24"/>
          <w:szCs w:val="24"/>
          <w:lang w:eastAsia="tr-TR"/>
        </w:rPr>
        <w:t>arşı tarafın yükümlülüğünü yerine getirmemesi halinde</w:t>
      </w:r>
      <w:r>
        <w:rPr>
          <w:rFonts w:ascii="Times New Roman" w:eastAsia="Times New Roman" w:hAnsi="Times New Roman" w:cs="Times New Roman"/>
          <w:sz w:val="24"/>
          <w:szCs w:val="24"/>
          <w:lang w:eastAsia="tr-TR"/>
        </w:rPr>
        <w:t>,</w:t>
      </w:r>
      <w:r w:rsidR="00BE24EC">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t</w:t>
      </w:r>
      <w:r w:rsidRPr="008F0193">
        <w:rPr>
          <w:rFonts w:ascii="Times New Roman" w:eastAsia="Times New Roman" w:hAnsi="Times New Roman" w:cs="Times New Roman"/>
          <w:sz w:val="24"/>
          <w:szCs w:val="24"/>
          <w:lang w:eastAsia="tr-TR"/>
        </w:rPr>
        <w:t>eminat</w:t>
      </w:r>
      <w:r>
        <w:rPr>
          <w:rFonts w:ascii="Times New Roman" w:eastAsia="Times New Roman" w:hAnsi="Times New Roman" w:cs="Times New Roman"/>
          <w:sz w:val="24"/>
          <w:szCs w:val="24"/>
          <w:lang w:eastAsia="tr-TR"/>
        </w:rPr>
        <w:t xml:space="preserve"> tutarının tamamı,</w:t>
      </w:r>
      <w:r w:rsidRPr="008F0193">
        <w:rPr>
          <w:rFonts w:ascii="Times New Roman" w:eastAsia="Times New Roman" w:hAnsi="Times New Roman" w:cs="Times New Roman"/>
          <w:sz w:val="24"/>
          <w:szCs w:val="24"/>
          <w:lang w:eastAsia="tr-TR"/>
        </w:rPr>
        <w:t xml:space="preserve"> fon tarafından koşulsuz olarak ve gerçeğe uygun değeri üzerinden nakde dönüştürülerek kullanılabilmelidir.</w:t>
      </w:r>
    </w:p>
    <w:p w:rsidR="00435994" w:rsidRPr="00435994" w:rsidRDefault="00435994" w:rsidP="009168AA">
      <w:pPr>
        <w:pStyle w:val="ListParagraph"/>
        <w:numPr>
          <w:ilvl w:val="0"/>
          <w:numId w:val="69"/>
        </w:numPr>
        <w:jc w:val="both"/>
        <w:rPr>
          <w:rFonts w:ascii="Times New Roman" w:eastAsia="Times New Roman" w:hAnsi="Times New Roman" w:cs="Times New Roman"/>
          <w:sz w:val="24"/>
          <w:szCs w:val="24"/>
          <w:lang w:eastAsia="tr-TR"/>
        </w:rPr>
      </w:pPr>
      <w:r w:rsidRPr="009168AA">
        <w:rPr>
          <w:rFonts w:ascii="Times New Roman" w:eastAsia="Times New Roman" w:hAnsi="Times New Roman" w:cs="Times New Roman"/>
          <w:b/>
          <w:sz w:val="24"/>
          <w:szCs w:val="24"/>
          <w:lang w:eastAsia="tr-TR"/>
        </w:rPr>
        <w:t xml:space="preserve">(Ek: </w:t>
      </w:r>
      <w:r w:rsidR="009168AA" w:rsidRPr="009168AA">
        <w:rPr>
          <w:rFonts w:ascii="Times New Roman" w:eastAsia="Times New Roman" w:hAnsi="Times New Roman" w:cs="Times New Roman"/>
          <w:b/>
          <w:sz w:val="24"/>
          <w:szCs w:val="24"/>
          <w:lang w:eastAsia="tr-TR"/>
        </w:rPr>
        <w:t>23.05.2016 tarih ve 17/573 sayılı Kurul Kararı ile)</w:t>
      </w:r>
      <w:r w:rsidR="007E6AF4">
        <w:rPr>
          <w:rFonts w:ascii="Times New Roman" w:eastAsia="Times New Roman" w:hAnsi="Times New Roman" w:cs="Times New Roman"/>
          <w:b/>
          <w:sz w:val="24"/>
          <w:szCs w:val="24"/>
          <w:lang w:eastAsia="tr-TR"/>
        </w:rPr>
        <w:t xml:space="preserve">, </w:t>
      </w:r>
      <w:r w:rsidR="007E6AF4" w:rsidRPr="00997319">
        <w:rPr>
          <w:rFonts w:ascii="Times New Roman" w:eastAsia="Times New Roman" w:hAnsi="Times New Roman" w:cs="Times New Roman"/>
          <w:b/>
          <w:sz w:val="24"/>
          <w:szCs w:val="24"/>
          <w:lang w:eastAsia="tr-TR"/>
        </w:rPr>
        <w:t>(Değişiklik: 21.03.2023 tarih ve 17/366 sayılı Kurul Kararı ile)</w:t>
      </w:r>
      <w:r w:rsidR="009168AA" w:rsidRPr="009168AA">
        <w:rPr>
          <w:rFonts w:ascii="Times New Roman" w:eastAsia="Times New Roman" w:hAnsi="Times New Roman" w:cs="Times New Roman"/>
          <w:b/>
          <w:sz w:val="24"/>
          <w:szCs w:val="24"/>
          <w:lang w:eastAsia="tr-TR"/>
        </w:rPr>
        <w:t xml:space="preserve"> </w:t>
      </w:r>
      <w:r w:rsidRPr="00435994">
        <w:rPr>
          <w:rFonts w:ascii="Times New Roman" w:eastAsia="Times New Roman" w:hAnsi="Times New Roman" w:cs="Times New Roman"/>
          <w:sz w:val="24"/>
          <w:szCs w:val="24"/>
          <w:lang w:eastAsia="tr-TR"/>
        </w:rPr>
        <w:t>Yatırım fonları tarafından</w:t>
      </w:r>
      <w:r w:rsidR="009E28A7">
        <w:rPr>
          <w:rFonts w:ascii="Times New Roman" w:eastAsia="Times New Roman" w:hAnsi="Times New Roman" w:cs="Times New Roman"/>
          <w:sz w:val="24"/>
          <w:szCs w:val="24"/>
          <w:lang w:eastAsia="tr-TR"/>
        </w:rPr>
        <w:t xml:space="preserve"> borsada ve borsa dışında</w:t>
      </w:r>
      <w:r w:rsidRPr="00435994">
        <w:rPr>
          <w:rFonts w:ascii="Times New Roman" w:eastAsia="Times New Roman" w:hAnsi="Times New Roman" w:cs="Times New Roman"/>
          <w:sz w:val="24"/>
          <w:szCs w:val="24"/>
          <w:lang w:eastAsia="tr-TR"/>
        </w:rPr>
        <w:t xml:space="preserve"> opsiyon satıcısı olarak opsiyon sözleşmesine taraf olunamaz.</w:t>
      </w:r>
    </w:p>
    <w:p w:rsidR="00435994" w:rsidRDefault="00435994" w:rsidP="009168AA">
      <w:pPr>
        <w:pStyle w:val="ListParagraph"/>
        <w:numPr>
          <w:ilvl w:val="0"/>
          <w:numId w:val="69"/>
        </w:numPr>
        <w:jc w:val="both"/>
        <w:rPr>
          <w:rFonts w:ascii="Times New Roman" w:eastAsia="Times New Roman" w:hAnsi="Times New Roman" w:cs="Times New Roman"/>
          <w:sz w:val="24"/>
          <w:szCs w:val="24"/>
          <w:lang w:eastAsia="tr-TR"/>
        </w:rPr>
      </w:pPr>
      <w:r w:rsidRPr="009168AA">
        <w:rPr>
          <w:rFonts w:ascii="Times New Roman" w:eastAsia="Times New Roman" w:hAnsi="Times New Roman" w:cs="Times New Roman"/>
          <w:b/>
          <w:sz w:val="24"/>
          <w:szCs w:val="24"/>
          <w:lang w:eastAsia="tr-TR"/>
        </w:rPr>
        <w:t xml:space="preserve">(Değişiklik: </w:t>
      </w:r>
      <w:r w:rsidR="009168AA" w:rsidRPr="009168AA">
        <w:rPr>
          <w:rFonts w:ascii="Times New Roman" w:eastAsia="Times New Roman" w:hAnsi="Times New Roman" w:cs="Times New Roman"/>
          <w:b/>
          <w:sz w:val="24"/>
          <w:szCs w:val="24"/>
          <w:lang w:eastAsia="tr-TR"/>
        </w:rPr>
        <w:t>23.05.2016 tarih ve 17/573 sayılı Kurul Kararı ile)</w:t>
      </w:r>
      <w:r w:rsidR="00997319">
        <w:rPr>
          <w:rFonts w:ascii="Times New Roman" w:eastAsia="Times New Roman" w:hAnsi="Times New Roman" w:cs="Times New Roman"/>
          <w:b/>
          <w:sz w:val="24"/>
          <w:szCs w:val="24"/>
          <w:lang w:eastAsia="tr-TR"/>
        </w:rPr>
        <w:t>,</w:t>
      </w:r>
      <w:r w:rsidR="009168AA" w:rsidRPr="009168AA">
        <w:rPr>
          <w:rFonts w:ascii="Times New Roman" w:eastAsia="Times New Roman" w:hAnsi="Times New Roman" w:cs="Times New Roman"/>
          <w:b/>
          <w:sz w:val="24"/>
          <w:szCs w:val="24"/>
          <w:lang w:eastAsia="tr-TR"/>
        </w:rPr>
        <w:t xml:space="preserve"> </w:t>
      </w:r>
      <w:r w:rsidR="00997319" w:rsidRPr="00997319">
        <w:rPr>
          <w:rFonts w:ascii="Times New Roman" w:eastAsia="Times New Roman" w:hAnsi="Times New Roman" w:cs="Times New Roman"/>
          <w:b/>
          <w:sz w:val="24"/>
          <w:szCs w:val="24"/>
          <w:lang w:eastAsia="tr-TR"/>
        </w:rPr>
        <w:t>(Değişiklik: 21.03.2023 tarih ve 17/366 sayılı Kurul Kararı ile)</w:t>
      </w:r>
      <w:r w:rsidR="00997319" w:rsidRPr="00113839">
        <w:rPr>
          <w:rFonts w:eastAsia="Times New Roman" w:cs="Times New Roman"/>
          <w:b/>
          <w:lang w:eastAsia="tr-TR"/>
        </w:rPr>
        <w:t xml:space="preserve"> </w:t>
      </w:r>
      <w:r w:rsidRPr="00435994">
        <w:rPr>
          <w:rFonts w:ascii="Times New Roman" w:eastAsia="Times New Roman" w:hAnsi="Times New Roman" w:cs="Times New Roman"/>
          <w:sz w:val="24"/>
          <w:szCs w:val="24"/>
          <w:lang w:eastAsia="tr-TR"/>
        </w:rPr>
        <w:t>Serbest fonlar için bu bölümün (a), (b</w:t>
      </w:r>
      <w:r w:rsidR="00CF0486">
        <w:rPr>
          <w:rFonts w:ascii="Times New Roman" w:eastAsia="Times New Roman" w:hAnsi="Times New Roman" w:cs="Times New Roman"/>
          <w:sz w:val="24"/>
          <w:szCs w:val="24"/>
          <w:lang w:eastAsia="tr-TR"/>
        </w:rPr>
        <w:t>/i</w:t>
      </w:r>
      <w:r w:rsidRPr="00435994">
        <w:rPr>
          <w:rFonts w:ascii="Times New Roman" w:eastAsia="Times New Roman" w:hAnsi="Times New Roman" w:cs="Times New Roman"/>
          <w:sz w:val="24"/>
          <w:szCs w:val="24"/>
          <w:lang w:eastAsia="tr-TR"/>
        </w:rPr>
        <w:t>),</w:t>
      </w:r>
      <w:r w:rsidR="00CF0486">
        <w:rPr>
          <w:rFonts w:ascii="Times New Roman" w:eastAsia="Times New Roman" w:hAnsi="Times New Roman" w:cs="Times New Roman"/>
          <w:sz w:val="24"/>
          <w:szCs w:val="24"/>
          <w:lang w:eastAsia="tr-TR"/>
        </w:rPr>
        <w:t xml:space="preserve"> (b/ii),</w:t>
      </w:r>
      <w:r w:rsidRPr="00435994">
        <w:rPr>
          <w:rFonts w:ascii="Times New Roman" w:eastAsia="Times New Roman" w:hAnsi="Times New Roman" w:cs="Times New Roman"/>
          <w:sz w:val="24"/>
          <w:szCs w:val="24"/>
          <w:lang w:eastAsia="tr-TR"/>
        </w:rPr>
        <w:t xml:space="preserve"> (d) ve (e) bentleri uygulanmaz.</w:t>
      </w:r>
    </w:p>
    <w:p w:rsidR="00435994" w:rsidRPr="00435994" w:rsidRDefault="00435994" w:rsidP="00435994">
      <w:pPr>
        <w:shd w:val="clear" w:color="auto" w:fill="FFFFFF"/>
        <w:spacing w:before="45" w:after="150" w:line="255" w:lineRule="atLeast"/>
        <w:ind w:firstLine="708"/>
        <w:jc w:val="both"/>
        <w:rPr>
          <w:rFonts w:ascii="Times New Roman" w:eastAsia="Times New Roman" w:hAnsi="Times New Roman" w:cs="Times New Roman"/>
          <w:sz w:val="24"/>
          <w:szCs w:val="24"/>
          <w:lang w:eastAsia="tr-TR"/>
        </w:rPr>
      </w:pPr>
    </w:p>
    <w:p w:rsidR="00413F9F" w:rsidRDefault="00413F9F" w:rsidP="00413F9F">
      <w:pPr>
        <w:pStyle w:val="Heading3"/>
        <w:jc w:val="both"/>
        <w:rPr>
          <w:rFonts w:eastAsia="Times New Roman"/>
          <w:color w:val="000000"/>
        </w:rPr>
      </w:pPr>
      <w:bookmarkStart w:id="147" w:name="_Toc130312558"/>
      <w:bookmarkStart w:id="148" w:name="_Toc130312691"/>
      <w:r>
        <w:rPr>
          <w:rFonts w:eastAsia="Times New Roman"/>
          <w:color w:val="000000"/>
        </w:rPr>
        <w:t xml:space="preserve">4.2.8. </w:t>
      </w:r>
      <w:r w:rsidR="009F5018" w:rsidRPr="009F5018">
        <w:t xml:space="preserve">(Değişiklik: 21.03.2023 tarih ve </w:t>
      </w:r>
      <w:r w:rsidR="001D3908" w:rsidRPr="001D3908">
        <w:t>17/366</w:t>
      </w:r>
      <w:r w:rsidR="009F5018" w:rsidRPr="009F5018">
        <w:t xml:space="preserve"> sayılı Kurul Kararı ile)</w:t>
      </w:r>
      <w:r w:rsidR="009F5018">
        <w:rPr>
          <w:b w:val="0"/>
        </w:rPr>
        <w:t xml:space="preserve"> </w:t>
      </w:r>
      <w:r>
        <w:rPr>
          <w:rFonts w:eastAsia="Times New Roman"/>
          <w:color w:val="000000"/>
        </w:rPr>
        <w:t xml:space="preserve">Sermaye Piyasası Araçlarının İlk İhraçları ve Döviz ile </w:t>
      </w:r>
      <w:r w:rsidR="00BB1D63">
        <w:rPr>
          <w:rFonts w:eastAsia="Times New Roman"/>
          <w:color w:val="000000"/>
        </w:rPr>
        <w:t xml:space="preserve">Kıymetli Maden </w:t>
      </w:r>
      <w:r>
        <w:rPr>
          <w:rFonts w:eastAsia="Times New Roman"/>
          <w:color w:val="000000"/>
        </w:rPr>
        <w:t>Alım Satım İşlemleri</w:t>
      </w:r>
      <w:bookmarkEnd w:id="147"/>
      <w:bookmarkEnd w:id="148"/>
    </w:p>
    <w:p w:rsidR="00413F9F" w:rsidRDefault="00413F9F" w:rsidP="00413F9F">
      <w:pPr>
        <w:pStyle w:val="default0"/>
        <w:ind w:firstLine="708"/>
        <w:jc w:val="both"/>
      </w:pPr>
      <w:r>
        <w:t> </w:t>
      </w:r>
    </w:p>
    <w:p w:rsidR="00413F9F" w:rsidRDefault="00413F9F" w:rsidP="00413F9F">
      <w:pPr>
        <w:pStyle w:val="default0"/>
        <w:ind w:firstLine="708"/>
        <w:jc w:val="both"/>
      </w:pPr>
      <w:r>
        <w:t xml:space="preserve">Yatırım fonları hesabına T.C. </w:t>
      </w:r>
      <w:r w:rsidR="009F5018">
        <w:t xml:space="preserve">Hazine ve Maliye Bakanlığı </w:t>
      </w:r>
      <w:r>
        <w:t xml:space="preserve">tarafından gerçekleştirilen ilk ihraçlardan sermaye piyasası aracı alım işlemlerini ve </w:t>
      </w:r>
      <w:r w:rsidR="009F5018">
        <w:t xml:space="preserve">kıymetli maden </w:t>
      </w:r>
      <w:r>
        <w:t xml:space="preserve">ile döviz alım satım işlemlerini </w:t>
      </w:r>
      <w:r w:rsidRPr="00413F9F">
        <w:t xml:space="preserve">gerçekleştiren </w:t>
      </w:r>
      <w:r>
        <w:t xml:space="preserve">kuruluşlar, </w:t>
      </w:r>
      <w:r w:rsidRPr="00413F9F">
        <w:t>söz</w:t>
      </w:r>
      <w:r>
        <w:t xml:space="preserve"> konusu işlemlerde komisyon uygulanmaması kaydıyla,  Kanun’un 56. maddesinin yedinci fıkrasında düzenlenen fon portföyüne varlık alım satımına aracılık hizmeti veren yatırım kuruluşu kapsamında değerlendirilmez.</w:t>
      </w:r>
    </w:p>
    <w:p w:rsidR="006670F1" w:rsidRDefault="006670F1" w:rsidP="00413F9F">
      <w:pPr>
        <w:pStyle w:val="default0"/>
        <w:ind w:firstLine="708"/>
        <w:jc w:val="both"/>
      </w:pPr>
    </w:p>
    <w:p w:rsidR="006670F1" w:rsidRPr="00B16042" w:rsidRDefault="006670F1" w:rsidP="006670F1"/>
    <w:p w:rsidR="006670F1" w:rsidRDefault="006670F1" w:rsidP="00BC2E7B">
      <w:pPr>
        <w:pStyle w:val="Heading2"/>
        <w:spacing w:after="240"/>
        <w:jc w:val="both"/>
      </w:pPr>
      <w:bookmarkStart w:id="149" w:name="_Toc130312559"/>
      <w:bookmarkStart w:id="150" w:name="_Toc130312692"/>
      <w:r>
        <w:rPr>
          <w:rFonts w:eastAsia="Times New Roman" w:cs="Times New Roman"/>
          <w:bCs/>
          <w:szCs w:val="24"/>
          <w:lang w:eastAsia="tr-TR"/>
        </w:rPr>
        <w:t>4.2</w:t>
      </w:r>
      <w:r w:rsidRPr="00074321">
        <w:rPr>
          <w:rFonts w:eastAsia="Times New Roman" w:cs="Times New Roman"/>
          <w:bCs/>
          <w:szCs w:val="24"/>
          <w:lang w:eastAsia="tr-TR"/>
        </w:rPr>
        <w:t>.</w:t>
      </w:r>
      <w:r>
        <w:rPr>
          <w:rFonts w:eastAsia="Times New Roman" w:cs="Times New Roman"/>
          <w:bCs/>
          <w:szCs w:val="24"/>
          <w:lang w:eastAsia="tr-TR"/>
        </w:rPr>
        <w:t>9</w:t>
      </w:r>
      <w:r w:rsidR="00DD6CF6">
        <w:rPr>
          <w:rFonts w:eastAsia="Times New Roman" w:cs="Times New Roman"/>
          <w:bCs/>
          <w:szCs w:val="24"/>
          <w:lang w:eastAsia="tr-TR"/>
        </w:rPr>
        <w:t xml:space="preserve">. </w:t>
      </w:r>
      <w:r w:rsidRPr="009168AA">
        <w:t xml:space="preserve">(Ek: </w:t>
      </w:r>
      <w:r>
        <w:t>13.12.2018</w:t>
      </w:r>
      <w:r w:rsidRPr="009168AA">
        <w:t xml:space="preserve"> tarih ve </w:t>
      </w:r>
      <w:r w:rsidR="00BC2E7B" w:rsidRPr="00BC2E7B">
        <w:t>63/1453</w:t>
      </w:r>
      <w:r w:rsidRPr="009168AA">
        <w:t xml:space="preserve"> sayılı Kurul Kararı ile)</w:t>
      </w:r>
      <w:r>
        <w:t xml:space="preserve"> </w:t>
      </w:r>
      <w:r w:rsidRPr="006670F1">
        <w:t>Geri Alım Taahhüdü ile İhraç Edilen Sermaye Piyasası Araçları</w:t>
      </w:r>
      <w:bookmarkEnd w:id="149"/>
      <w:bookmarkEnd w:id="150"/>
    </w:p>
    <w:p w:rsidR="006670F1" w:rsidRPr="006670F1" w:rsidRDefault="006670F1" w:rsidP="006670F1">
      <w:pPr>
        <w:pStyle w:val="default0"/>
        <w:ind w:firstLine="708"/>
        <w:jc w:val="both"/>
      </w:pPr>
      <w:r w:rsidRPr="006670F1">
        <w:t>Yatırım fonlarının portföylerine ihraççı veya üçüncü kişiler tarafından verilen geri alım taahhüdü içeren ortaklık payı, borçlanma aracı, teminatlı menkul kıymet, varlığa veya ipoteğe dayalı menkul kıymet, kira sertifikası, gayrimenkul sertifikası ve benzeri sermaye piyasası araçlarının ihraçlarından ilgili sermaye piyasası araçlarının dâhil edilmesi halinde, söz konusu taahhüt kapsamında fon portföylerinden yapılacak satım işlemleri, her bir işlem için gerekçeli yönetim kurulu kararı alınması şartı ile borsa dışında gerçekleştirilebilir.</w:t>
      </w:r>
    </w:p>
    <w:p w:rsidR="006670F1" w:rsidRDefault="006670F1" w:rsidP="00413F9F">
      <w:pPr>
        <w:pStyle w:val="default0"/>
        <w:ind w:firstLine="708"/>
        <w:jc w:val="both"/>
      </w:pPr>
    </w:p>
    <w:p w:rsidR="00B07C5F" w:rsidRPr="00B07C5F" w:rsidRDefault="00B07C5F" w:rsidP="00B07C5F">
      <w:pPr>
        <w:pStyle w:val="Default"/>
        <w:ind w:firstLine="708"/>
        <w:jc w:val="both"/>
      </w:pPr>
    </w:p>
    <w:p w:rsidR="009129F5" w:rsidRDefault="009129F5" w:rsidP="003A0EC0">
      <w:pPr>
        <w:pStyle w:val="Heading2"/>
        <w:spacing w:after="240"/>
      </w:pPr>
      <w:bookmarkStart w:id="151" w:name="_Toc130312560"/>
      <w:bookmarkStart w:id="152" w:name="_Toc130312693"/>
      <w:r>
        <w:t>4</w:t>
      </w:r>
      <w:r w:rsidRPr="009C6AEB">
        <w:t>.</w:t>
      </w:r>
      <w:r>
        <w:t>3</w:t>
      </w:r>
      <w:r w:rsidRPr="009C6AEB">
        <w:t xml:space="preserve">. </w:t>
      </w:r>
      <w:r w:rsidR="001E3EFC" w:rsidRPr="001E3EFC">
        <w:t xml:space="preserve">(Değişiklik: </w:t>
      </w:r>
      <w:r w:rsidR="001E3EFC">
        <w:t>24</w:t>
      </w:r>
      <w:r w:rsidR="001E3EFC" w:rsidRPr="001E3EFC">
        <w:t>.</w:t>
      </w:r>
      <w:r w:rsidR="001E3EFC">
        <w:t>10.2019</w:t>
      </w:r>
      <w:r w:rsidR="001E3EFC" w:rsidRPr="001E3EFC">
        <w:t xml:space="preserve"> tarih ve </w:t>
      </w:r>
      <w:r w:rsidR="001E3EFC">
        <w:t>61</w:t>
      </w:r>
      <w:r w:rsidR="001E3EFC" w:rsidRPr="001E3EFC">
        <w:t>/</w:t>
      </w:r>
      <w:r w:rsidR="001E3EFC">
        <w:t>1372</w:t>
      </w:r>
      <w:r w:rsidR="001E3EFC" w:rsidRPr="001E3EFC">
        <w:t xml:space="preserve"> sayılı Kurul Kararı ile)</w:t>
      </w:r>
      <w:r w:rsidR="00997319">
        <w:t>,</w:t>
      </w:r>
      <w:r w:rsidR="001E3EFC" w:rsidRPr="001E3EFC">
        <w:t xml:space="preserve"> </w:t>
      </w:r>
      <w:r w:rsidR="009A30D0" w:rsidRPr="001E3EFC">
        <w:t xml:space="preserve">(Değişiklik: </w:t>
      </w:r>
      <w:r w:rsidR="009A30D0">
        <w:t>21</w:t>
      </w:r>
      <w:r w:rsidR="009A30D0" w:rsidRPr="001E3EFC">
        <w:t>.</w:t>
      </w:r>
      <w:r w:rsidR="009A30D0">
        <w:t>03.2023</w:t>
      </w:r>
      <w:r w:rsidR="009A30D0" w:rsidRPr="001E3EFC">
        <w:t xml:space="preserve"> tarih ve </w:t>
      </w:r>
      <w:r w:rsidR="00997319" w:rsidRPr="00997319">
        <w:t>17</w:t>
      </w:r>
      <w:r w:rsidR="009A30D0" w:rsidRPr="00997319">
        <w:t>/</w:t>
      </w:r>
      <w:r w:rsidR="00997319" w:rsidRPr="00997319">
        <w:t>366</w:t>
      </w:r>
      <w:r w:rsidR="009A30D0" w:rsidRPr="001E3EFC">
        <w:t xml:space="preserve"> sayılı Kurul Kararı ile) </w:t>
      </w:r>
      <w:r w:rsidRPr="009C6AEB">
        <w:t>Serbest Fonlar</w:t>
      </w:r>
      <w:r w:rsidR="00026313">
        <w:t>a İlişkin Esaslar</w:t>
      </w:r>
      <w:r w:rsidRPr="009C6AEB">
        <w:t xml:space="preserve"> </w:t>
      </w:r>
      <w:bookmarkEnd w:id="151"/>
      <w:bookmarkEnd w:id="152"/>
    </w:p>
    <w:p w:rsidR="009129F5" w:rsidRDefault="00026313" w:rsidP="009129F5">
      <w:pPr>
        <w:pStyle w:val="Default"/>
        <w:ind w:firstLine="708"/>
        <w:jc w:val="both"/>
      </w:pPr>
      <w:r>
        <w:t xml:space="preserve">a) </w:t>
      </w:r>
      <w:r w:rsidR="009129F5" w:rsidRPr="007A724D">
        <w:t>Fon Tebliği’nin</w:t>
      </w:r>
      <w:r w:rsidR="009129F5">
        <w:t xml:space="preserve"> 25</w:t>
      </w:r>
      <w:r w:rsidR="004250A0">
        <w:t>’inci</w:t>
      </w:r>
      <w:r w:rsidR="009129F5">
        <w:t xml:space="preserve"> maddesi çerçevesinde s</w:t>
      </w:r>
      <w:r w:rsidR="009129F5" w:rsidRPr="00817C2B">
        <w:t>erbest fonlar Fon Tebliğ</w:t>
      </w:r>
      <w:r w:rsidR="009129F5">
        <w:t>i</w:t>
      </w:r>
      <w:r w:rsidR="009129F5" w:rsidRPr="00817C2B">
        <w:t>’nin 17 ila 24</w:t>
      </w:r>
      <w:r w:rsidR="009612E3">
        <w:t>’</w:t>
      </w:r>
      <w:r w:rsidR="009129F5" w:rsidRPr="00817C2B">
        <w:t xml:space="preserve">üncü maddelerinde </w:t>
      </w:r>
      <w:r w:rsidR="009129F5">
        <w:t>yer alan f</w:t>
      </w:r>
      <w:r w:rsidR="009129F5" w:rsidRPr="007320AC">
        <w:t>on portföyüne alınacak varlık</w:t>
      </w:r>
      <w:r>
        <w:t xml:space="preserve"> ve işlemlere</w:t>
      </w:r>
      <w:r w:rsidR="009129F5" w:rsidRPr="007320AC">
        <w:t xml:space="preserve"> ilişkin</w:t>
      </w:r>
      <w:r w:rsidR="00285D56">
        <w:t xml:space="preserve"> oransal</w:t>
      </w:r>
      <w:r w:rsidR="009129F5" w:rsidRPr="007320AC">
        <w:t xml:space="preserve"> sınırlam</w:t>
      </w:r>
      <w:r w:rsidR="00285D56">
        <w:t>a</w:t>
      </w:r>
      <w:r w:rsidR="009129F5" w:rsidRPr="007320AC">
        <w:t>lar</w:t>
      </w:r>
      <w:r w:rsidR="009129F5">
        <w:t>a</w:t>
      </w:r>
      <w:r w:rsidR="00285D56">
        <w:t xml:space="preserve"> </w:t>
      </w:r>
      <w:r w:rsidR="009129F5" w:rsidRPr="00817C2B">
        <w:t>tabi olmaksızın fon</w:t>
      </w:r>
      <w:r w:rsidR="00BE24EC">
        <w:t xml:space="preserve"> </w:t>
      </w:r>
      <w:r w:rsidR="00E25B64">
        <w:t>izahnamesinde</w:t>
      </w:r>
      <w:r w:rsidR="00BE24EC">
        <w:t xml:space="preserve"> </w:t>
      </w:r>
      <w:r w:rsidR="00E600E2">
        <w:t>belirtilen</w:t>
      </w:r>
      <w:r w:rsidR="009129F5" w:rsidRPr="00817C2B">
        <w:t xml:space="preserve"> yatırım strateji</w:t>
      </w:r>
      <w:r w:rsidR="00E600E2">
        <w:t>si</w:t>
      </w:r>
      <w:r w:rsidR="009129F5" w:rsidRPr="00817C2B">
        <w:t xml:space="preserve"> ve limitleri dahilinde yatırım yapabilirler.</w:t>
      </w:r>
      <w:r>
        <w:t xml:space="preserve"> Ayrıca, Fon Tebliği ve bu Rehber’de yatırım yapılabilir seviyede derecelendirme notunun arandığı durumlarda serbest fonlar için derecelendirme yapılmış olması yeterlidir. Özel esaslar saklı kalmak kaydıyla, Fon Tebliği ve bu Rehber’de fon portföyüne dahil edilecek varlık ve işlemler için belirlenen oransal yatırım sınırlaması dışındaki diğer tüm şartlar serbest fonlar için de aranır. Örneğin, bir serbest fon borsa dışında ortaklık payı alım/satım işlemi gerçekleştiremez.</w:t>
      </w:r>
    </w:p>
    <w:p w:rsidR="001E3EFC" w:rsidRDefault="001E3EFC" w:rsidP="009129F5">
      <w:pPr>
        <w:pStyle w:val="Default"/>
        <w:ind w:firstLine="708"/>
        <w:jc w:val="both"/>
      </w:pPr>
    </w:p>
    <w:p w:rsidR="001E3EFC" w:rsidRDefault="00026313" w:rsidP="009129F5">
      <w:pPr>
        <w:pStyle w:val="Default"/>
        <w:ind w:firstLine="708"/>
        <w:jc w:val="both"/>
      </w:pPr>
      <w:r>
        <w:t xml:space="preserve">b) </w:t>
      </w:r>
      <w:r w:rsidR="001E3EFC" w:rsidRPr="001E3EFC">
        <w:t xml:space="preserve">Fon izahnamesinde fonun </w:t>
      </w:r>
      <w:r w:rsidR="001E3EFC">
        <w:t xml:space="preserve">Fon </w:t>
      </w:r>
      <w:r w:rsidR="001E3EFC" w:rsidRPr="001E3EFC">
        <w:t>Tebliğ</w:t>
      </w:r>
      <w:r w:rsidR="001E3EFC">
        <w:t>i</w:t>
      </w:r>
      <w:r w:rsidR="001E3EFC" w:rsidRPr="001E3EFC">
        <w:t>’</w:t>
      </w:r>
      <w:r w:rsidR="001E3EFC">
        <w:t>nin 20</w:t>
      </w:r>
      <w:r w:rsidR="0000384F">
        <w:t>’</w:t>
      </w:r>
      <w:r w:rsidR="001E3EFC">
        <w:t>nci</w:t>
      </w:r>
      <w:r w:rsidR="001E3EFC" w:rsidRPr="001E3EFC">
        <w:t xml:space="preserve"> maddesinin birinci fıkrasının (a) bendine ve aynı maddenin ikinci fıkrasına uygun olarak yönetileceğinin belirtilmesi ve unvanında "kısa vadeli" ifadesine yer verilmesi şartıyla serbest fonların katılma paylarının alım satımına esas teşkil eden pay fiyatı, </w:t>
      </w:r>
      <w:r w:rsidR="001E3EFC">
        <w:t xml:space="preserve">Fon </w:t>
      </w:r>
      <w:r w:rsidR="001E3EFC" w:rsidRPr="001E3EFC">
        <w:t>Tebliğ</w:t>
      </w:r>
      <w:r w:rsidR="001E3EFC">
        <w:t>i</w:t>
      </w:r>
      <w:r w:rsidR="001E3EFC" w:rsidRPr="001E3EFC">
        <w:t>’</w:t>
      </w:r>
      <w:r w:rsidR="001E3EFC">
        <w:t>n</w:t>
      </w:r>
      <w:r w:rsidR="001E3EFC" w:rsidRPr="001E3EFC">
        <w:t>in 14’üncü maddesinin beşinci fıkrasının ikinci cümlesi kapsamında hesaplanacak pay fiyatı olarak belirlenebilir.</w:t>
      </w:r>
    </w:p>
    <w:p w:rsidR="00026313" w:rsidRDefault="00026313" w:rsidP="009129F5">
      <w:pPr>
        <w:pStyle w:val="Default"/>
        <w:ind w:firstLine="708"/>
        <w:jc w:val="both"/>
      </w:pPr>
    </w:p>
    <w:p w:rsidR="00026313" w:rsidRDefault="00026313" w:rsidP="009129F5">
      <w:pPr>
        <w:pStyle w:val="Default"/>
        <w:ind w:firstLine="708"/>
        <w:jc w:val="both"/>
      </w:pPr>
      <w:r>
        <w:t xml:space="preserve">c) Unvanında “özel” ibaresi yer almayan ve TEFAS’ta işlem görmeyen serbest fonların ihracına ilişkin izahnamenin KAP’ta yayımlandığı tarihten itibaren 3 ay içerisinde yatırımcı sayısının on ve daha az olması halinde özel fona dönüştürülmesi, başka bir fon ile birleştirilmesi, TEFAS’ta işlem görmesi veya tasfiye edilmesi talebiyle Kurula başvurulması zorunludur. </w:t>
      </w:r>
    </w:p>
    <w:p w:rsidR="00026313" w:rsidRDefault="00026313" w:rsidP="009129F5">
      <w:pPr>
        <w:pStyle w:val="Default"/>
        <w:ind w:firstLine="708"/>
        <w:jc w:val="both"/>
      </w:pPr>
    </w:p>
    <w:p w:rsidR="00026313" w:rsidRPr="007A724D" w:rsidRDefault="00026313" w:rsidP="009129F5">
      <w:pPr>
        <w:pStyle w:val="Default"/>
        <w:ind w:firstLine="708"/>
        <w:jc w:val="both"/>
      </w:pPr>
      <w:r>
        <w:t>d) Unvanında “özel” ibaresi yer alan serbest fonların yatırımcılarının fon ihraç başvurusu esnasında işlem yasaklı olmaması zorunludur.</w:t>
      </w:r>
    </w:p>
    <w:p w:rsidR="009129F5" w:rsidRDefault="009129F5" w:rsidP="009129F5">
      <w:pPr>
        <w:pStyle w:val="Default"/>
        <w:spacing w:line="360" w:lineRule="auto"/>
        <w:jc w:val="both"/>
      </w:pPr>
    </w:p>
    <w:p w:rsidR="002963F4" w:rsidRDefault="002963F4" w:rsidP="009129F5">
      <w:pPr>
        <w:pStyle w:val="Default"/>
        <w:ind w:firstLine="708"/>
        <w:jc w:val="both"/>
      </w:pPr>
    </w:p>
    <w:p w:rsidR="009078FF" w:rsidRDefault="009078FF" w:rsidP="00FF12FF">
      <w:pPr>
        <w:pStyle w:val="Heading2"/>
        <w:spacing w:after="240"/>
      </w:pPr>
      <w:bookmarkStart w:id="153" w:name="_Toc130312561"/>
      <w:bookmarkStart w:id="154" w:name="_Toc130312694"/>
      <w:r>
        <w:t>4</w:t>
      </w:r>
      <w:r w:rsidRPr="009C6AEB">
        <w:t>.</w:t>
      </w:r>
      <w:r w:rsidR="0076180C">
        <w:t>4</w:t>
      </w:r>
      <w:r w:rsidRPr="009C6AEB">
        <w:t xml:space="preserve">. </w:t>
      </w:r>
      <w:r>
        <w:t>Portföy Yönetimine İlişkin Esaslar</w:t>
      </w:r>
      <w:bookmarkEnd w:id="153"/>
      <w:bookmarkEnd w:id="154"/>
    </w:p>
    <w:p w:rsidR="00FC56BA" w:rsidRPr="00BE24EC" w:rsidRDefault="00C94B14" w:rsidP="00C94B14">
      <w:pPr>
        <w:ind w:firstLine="708"/>
        <w:jc w:val="both"/>
        <w:rPr>
          <w:rFonts w:ascii="Times New Roman" w:eastAsia="Times New Roman" w:hAnsi="Times New Roman" w:cs="Times New Roman"/>
          <w:color w:val="000000"/>
          <w:sz w:val="24"/>
          <w:szCs w:val="24"/>
          <w:lang w:eastAsia="tr-TR"/>
        </w:rPr>
      </w:pPr>
      <w:r w:rsidRPr="00BE24EC">
        <w:rPr>
          <w:rFonts w:ascii="Times New Roman" w:eastAsia="Times New Roman" w:hAnsi="Times New Roman" w:cs="Times New Roman"/>
          <w:color w:val="000000"/>
          <w:sz w:val="24"/>
          <w:szCs w:val="24"/>
          <w:lang w:eastAsia="tr-TR"/>
        </w:rPr>
        <w:t>F</w:t>
      </w:r>
      <w:r w:rsidR="00FC56BA" w:rsidRPr="00BE24EC">
        <w:rPr>
          <w:rFonts w:ascii="Times New Roman" w:eastAsia="Times New Roman" w:hAnsi="Times New Roman" w:cs="Times New Roman"/>
          <w:color w:val="000000"/>
          <w:sz w:val="24"/>
          <w:szCs w:val="24"/>
          <w:lang w:eastAsia="tr-TR"/>
        </w:rPr>
        <w:t xml:space="preserve">onun </w:t>
      </w:r>
      <w:r w:rsidR="00FC56BA" w:rsidRPr="00BE24EC">
        <w:rPr>
          <w:rFonts w:ascii="Times New Roman" w:hAnsi="Times New Roman" w:cs="Times New Roman"/>
          <w:sz w:val="24"/>
          <w:szCs w:val="24"/>
        </w:rPr>
        <w:t xml:space="preserve">risk profiline ve yatırım stratejisine uygun </w:t>
      </w:r>
      <w:r w:rsidR="00FC56BA" w:rsidRPr="00BE24EC">
        <w:rPr>
          <w:rFonts w:ascii="Times New Roman" w:eastAsia="Times New Roman" w:hAnsi="Times New Roman" w:cs="Times New Roman"/>
          <w:color w:val="000000"/>
          <w:sz w:val="24"/>
          <w:szCs w:val="24"/>
          <w:lang w:eastAsia="tr-TR"/>
        </w:rPr>
        <w:t xml:space="preserve">olarak yönetilmesini teminen, portföy yönetim birimi ile risk yönetim birimi arasında gerekli koordinasyonun sağlanmasına yönelik organizasyon yapısı ve iş akış prosedürlerinin oluşturulması zorunludur. </w:t>
      </w:r>
    </w:p>
    <w:p w:rsidR="009078FF" w:rsidRDefault="00FC56BA" w:rsidP="00FC56BA">
      <w:pPr>
        <w:ind w:firstLine="708"/>
        <w:jc w:val="both"/>
        <w:rPr>
          <w:rFonts w:ascii="Times New Roman" w:hAnsi="Times New Roman" w:cs="Times New Roman"/>
          <w:sz w:val="24"/>
          <w:szCs w:val="24"/>
        </w:rPr>
      </w:pPr>
      <w:r w:rsidRPr="00BE24EC">
        <w:rPr>
          <w:rFonts w:ascii="Times New Roman" w:eastAsia="Times New Roman" w:hAnsi="Times New Roman" w:cs="Times New Roman"/>
          <w:color w:val="000000"/>
          <w:sz w:val="24"/>
          <w:szCs w:val="24"/>
          <w:lang w:eastAsia="tr-TR"/>
        </w:rPr>
        <w:t>Bu kapsamda, risk yönetim birimi tarafından üretilen sonuçlar (</w:t>
      </w:r>
      <w:r w:rsidRPr="00BE24EC">
        <w:rPr>
          <w:rFonts w:ascii="Times New Roman" w:hAnsi="Times New Roman" w:cs="Times New Roman"/>
          <w:sz w:val="24"/>
          <w:szCs w:val="24"/>
        </w:rPr>
        <w:t xml:space="preserve">Stres testi sonuçları, </w:t>
      </w:r>
      <w:r w:rsidR="00C94B14" w:rsidRPr="00BE24EC">
        <w:rPr>
          <w:rFonts w:ascii="Times New Roman" w:hAnsi="Times New Roman" w:cs="Times New Roman"/>
          <w:sz w:val="24"/>
          <w:szCs w:val="24"/>
        </w:rPr>
        <w:t xml:space="preserve">standart </w:t>
      </w:r>
      <w:r w:rsidR="002C7F2D" w:rsidRPr="00BE24EC">
        <w:rPr>
          <w:rFonts w:ascii="Times New Roman" w:hAnsi="Times New Roman" w:cs="Times New Roman"/>
          <w:sz w:val="24"/>
          <w:szCs w:val="24"/>
        </w:rPr>
        <w:t xml:space="preserve">yöntem </w:t>
      </w:r>
      <w:r w:rsidRPr="00BE24EC">
        <w:rPr>
          <w:rFonts w:ascii="Times New Roman" w:hAnsi="Times New Roman" w:cs="Times New Roman"/>
          <w:sz w:val="24"/>
          <w:szCs w:val="24"/>
        </w:rPr>
        <w:t xml:space="preserve">ve </w:t>
      </w:r>
      <w:r w:rsidR="009078FF" w:rsidRPr="00BE24EC">
        <w:rPr>
          <w:rFonts w:ascii="Times New Roman" w:hAnsi="Times New Roman" w:cs="Times New Roman"/>
          <w:sz w:val="24"/>
          <w:szCs w:val="24"/>
        </w:rPr>
        <w:t xml:space="preserve">RMD </w:t>
      </w:r>
      <w:r w:rsidR="002C7F2D" w:rsidRPr="00BE24EC">
        <w:rPr>
          <w:rFonts w:ascii="Times New Roman" w:hAnsi="Times New Roman" w:cs="Times New Roman"/>
          <w:sz w:val="24"/>
          <w:szCs w:val="24"/>
        </w:rPr>
        <w:t xml:space="preserve">yöntemi </w:t>
      </w:r>
      <w:r w:rsidR="009078FF" w:rsidRPr="00BE24EC">
        <w:rPr>
          <w:rFonts w:ascii="Times New Roman" w:hAnsi="Times New Roman" w:cs="Times New Roman"/>
          <w:sz w:val="24"/>
          <w:szCs w:val="24"/>
        </w:rPr>
        <w:t>tarafından üretilen sonuçlar</w:t>
      </w:r>
      <w:r w:rsidR="00BE24EC" w:rsidRPr="00BE24EC">
        <w:rPr>
          <w:rFonts w:ascii="Times New Roman" w:hAnsi="Times New Roman" w:cs="Times New Roman"/>
          <w:sz w:val="24"/>
          <w:szCs w:val="24"/>
        </w:rPr>
        <w:t xml:space="preserve"> </w:t>
      </w:r>
      <w:r w:rsidRPr="00BE24EC">
        <w:rPr>
          <w:rFonts w:ascii="Times New Roman" w:hAnsi="Times New Roman" w:cs="Times New Roman"/>
          <w:sz w:val="24"/>
          <w:szCs w:val="24"/>
        </w:rPr>
        <w:t xml:space="preserve">vb) </w:t>
      </w:r>
      <w:r w:rsidR="009078FF" w:rsidRPr="00BE24EC">
        <w:rPr>
          <w:rFonts w:ascii="Times New Roman" w:hAnsi="Times New Roman" w:cs="Times New Roman"/>
          <w:sz w:val="24"/>
          <w:szCs w:val="24"/>
        </w:rPr>
        <w:t>fonun yatırım kararlarının alınma sürecinde dikkate alınmalıdır.</w:t>
      </w:r>
    </w:p>
    <w:p w:rsidR="00D26A13" w:rsidRDefault="00D26A13" w:rsidP="00856E6D">
      <w:pPr>
        <w:ind w:firstLine="708"/>
        <w:jc w:val="both"/>
        <w:rPr>
          <w:rFonts w:ascii="Times New Roman" w:hAnsi="Times New Roman" w:cs="Times New Roman"/>
          <w:sz w:val="24"/>
          <w:szCs w:val="24"/>
        </w:rPr>
      </w:pPr>
    </w:p>
    <w:p w:rsidR="00D26A13" w:rsidRPr="00D26A13" w:rsidRDefault="00D26A13" w:rsidP="00856E6D">
      <w:pPr>
        <w:pStyle w:val="Heading2"/>
        <w:spacing w:after="240"/>
        <w:jc w:val="both"/>
      </w:pPr>
      <w:bookmarkStart w:id="155" w:name="_Toc130312562"/>
      <w:bookmarkStart w:id="156" w:name="_Toc130312695"/>
      <w:r w:rsidRPr="00D26A13">
        <w:t xml:space="preserve">4.5. </w:t>
      </w:r>
      <w:r w:rsidR="00856E6D">
        <w:t xml:space="preserve">(Ek:13.03.2015 tarih ve 7/330 sayılı Kurul Kararı ile) </w:t>
      </w:r>
      <w:r w:rsidR="009A30D0">
        <w:t xml:space="preserve">(Değişiklik: </w:t>
      </w:r>
      <w:r w:rsidR="009A30D0" w:rsidRPr="009E10B8">
        <w:rPr>
          <w:rFonts w:eastAsia="Times New Roman" w:cs="Times New Roman"/>
          <w:szCs w:val="24"/>
          <w:lang w:eastAsia="tr-TR"/>
        </w:rPr>
        <w:t xml:space="preserve">Ek: 21.03.2023 tarih ve </w:t>
      </w:r>
      <w:r w:rsidR="00B56902" w:rsidRPr="00B56902">
        <w:rPr>
          <w:rFonts w:eastAsia="Times New Roman" w:cs="Times New Roman"/>
          <w:szCs w:val="24"/>
          <w:lang w:eastAsia="tr-TR"/>
        </w:rPr>
        <w:t>17/366</w:t>
      </w:r>
      <w:r w:rsidR="009A30D0" w:rsidRPr="009E10B8">
        <w:rPr>
          <w:rFonts w:eastAsia="Times New Roman" w:cs="Times New Roman"/>
          <w:szCs w:val="24"/>
          <w:lang w:eastAsia="tr-TR"/>
        </w:rPr>
        <w:t xml:space="preserve"> sayılı Kurul Kararı ile</w:t>
      </w:r>
      <w:r w:rsidR="009A30D0" w:rsidRPr="009E10B8">
        <w:t>)</w:t>
      </w:r>
      <w:r w:rsidR="009A30D0">
        <w:t xml:space="preserve"> </w:t>
      </w:r>
      <w:r w:rsidRPr="00D26A13">
        <w:t>Gayrimenkul Yatırım Fonları ve Girişim Sermayesi Yatırım Fonlarının Katılma Paylarına Yatırım Yapılması</w:t>
      </w:r>
      <w:bookmarkEnd w:id="155"/>
      <w:bookmarkEnd w:id="156"/>
      <w:r w:rsidRPr="00D26A13">
        <w:t xml:space="preserve"> </w:t>
      </w:r>
    </w:p>
    <w:p w:rsidR="00D26A13" w:rsidRPr="00D26A13" w:rsidRDefault="00D26A13" w:rsidP="00D26A13">
      <w:pPr>
        <w:ind w:firstLine="708"/>
        <w:jc w:val="both"/>
        <w:rPr>
          <w:rFonts w:ascii="Times New Roman" w:hAnsi="Times New Roman" w:cs="Times New Roman"/>
          <w:sz w:val="24"/>
          <w:szCs w:val="24"/>
        </w:rPr>
      </w:pPr>
      <w:r>
        <w:rPr>
          <w:rFonts w:ascii="Times New Roman" w:hAnsi="Times New Roman" w:cs="Times New Roman"/>
          <w:sz w:val="24"/>
          <w:szCs w:val="24"/>
        </w:rPr>
        <w:t xml:space="preserve">Fon </w:t>
      </w:r>
      <w:r w:rsidRPr="00D26A13">
        <w:rPr>
          <w:rFonts w:ascii="Times New Roman" w:hAnsi="Times New Roman" w:cs="Times New Roman"/>
          <w:sz w:val="24"/>
          <w:szCs w:val="24"/>
        </w:rPr>
        <w:t xml:space="preserve">Tebliği’nin 18. maddesinde yer alan esaslar çerçevesinde gayrimenkul yatırım fonları ve girişim sermayesi yatırım fonlarının katılma payları fon portföyüne dahil edilebilir. Ancak tek bir gayrimenkul yatırım fonuna ve girişim sermayesi yatırım fonuna yapılan yatırım tutarı, fon toplam değerinin %4’ünü geçemez. </w:t>
      </w:r>
    </w:p>
    <w:p w:rsidR="00BF4FFB" w:rsidRDefault="00113839" w:rsidP="00945802">
      <w:pPr>
        <w:pStyle w:val="Heading2"/>
        <w:spacing w:after="240"/>
        <w:jc w:val="both"/>
      </w:pPr>
      <w:r w:rsidRPr="00113839">
        <w:t xml:space="preserve"> </w:t>
      </w:r>
      <w:r w:rsidRPr="00113839">
        <w:rPr>
          <w:rFonts w:cs="Times New Roman"/>
          <w:szCs w:val="24"/>
        </w:rPr>
        <w:t>Serbest yatırım fonları tarafından gayrimenkul yatırım fonları ve girişim sermayesi yatırım fonlarına fon toplam değerinin en fazla %25’i oranında yatırım yapılabilir. Fonlar tarafından bu sınırlamaya 30.09.2023 tarihine kadar uyum sağlanması zorunludur.</w:t>
      </w:r>
      <w:bookmarkStart w:id="157" w:name="_Toc130312563"/>
      <w:bookmarkStart w:id="158" w:name="_Toc130312696"/>
      <w:r w:rsidR="00BF4FFB" w:rsidRPr="00D26A13">
        <w:t>4.</w:t>
      </w:r>
      <w:r w:rsidR="00BF4FFB">
        <w:t>6</w:t>
      </w:r>
      <w:r w:rsidR="00BF4FFB" w:rsidRPr="00D26A13">
        <w:t xml:space="preserve">. </w:t>
      </w:r>
      <w:r w:rsidR="00856E6D">
        <w:t xml:space="preserve">(Ek:14.05.2015 tarih ve 12/588 sayılı Kurul Kararı ile) </w:t>
      </w:r>
      <w:r w:rsidR="00BF4FFB">
        <w:t>Unvanında “İştirak” İbaresi Yer Alan Fonlara İlişkin Esaslar</w:t>
      </w:r>
      <w:bookmarkEnd w:id="157"/>
      <w:bookmarkEnd w:id="158"/>
    </w:p>
    <w:p w:rsidR="00BF4FFB" w:rsidRDefault="00BF4FFB" w:rsidP="00BF4FFB">
      <w:pPr>
        <w:rPr>
          <w:rFonts w:ascii="Times New Roman" w:hAnsi="Times New Roman" w:cs="Times New Roman"/>
          <w:sz w:val="24"/>
          <w:szCs w:val="24"/>
        </w:rPr>
      </w:pPr>
      <w:r>
        <w:tab/>
      </w:r>
      <w:r w:rsidRPr="00BF4FFB">
        <w:rPr>
          <w:rFonts w:ascii="Times New Roman" w:hAnsi="Times New Roman" w:cs="Times New Roman"/>
          <w:sz w:val="24"/>
          <w:szCs w:val="24"/>
        </w:rPr>
        <w:t>Unvanında “İştirak” ibaresi yer alan fonlarda Fon Tebliği’nin 17. maddesinin birinci fıkrasının (b) bendi uygulanmaz.</w:t>
      </w:r>
    </w:p>
    <w:p w:rsidR="005A75F6" w:rsidRPr="005A75F6" w:rsidRDefault="00401A4C" w:rsidP="005A75F6">
      <w:pPr>
        <w:pStyle w:val="Heading2"/>
        <w:spacing w:after="240"/>
        <w:jc w:val="both"/>
        <w:rPr>
          <w:rFonts w:eastAsia="Times New Roman"/>
          <w:lang w:eastAsia="tr-TR"/>
        </w:rPr>
      </w:pPr>
      <w:bookmarkStart w:id="159" w:name="_Toc130312564"/>
      <w:bookmarkStart w:id="160" w:name="_Toc130312697"/>
      <w:r w:rsidRPr="00D26A13">
        <w:t>4.</w:t>
      </w:r>
      <w:r>
        <w:t>7</w:t>
      </w:r>
      <w:r w:rsidRPr="00D26A13">
        <w:t xml:space="preserve">. </w:t>
      </w:r>
      <w:r>
        <w:t xml:space="preserve">(Ek:12.03.2019 tarih ve 16/347 sayılı Kurul Kararı ile) </w:t>
      </w:r>
      <w:r w:rsidR="00061D6D">
        <w:rPr>
          <w:rFonts w:eastAsia="Times New Roman"/>
          <w:lang w:eastAsia="tr-TR"/>
        </w:rPr>
        <w:t xml:space="preserve">(Değişiklik: 27.06.2019 tarih ve 38/864 sayılı </w:t>
      </w:r>
      <w:r w:rsidR="00B27B43">
        <w:rPr>
          <w:rFonts w:eastAsia="Times New Roman"/>
          <w:lang w:eastAsia="tr-TR"/>
        </w:rPr>
        <w:t xml:space="preserve">Kurul </w:t>
      </w:r>
      <w:r w:rsidR="00061D6D">
        <w:rPr>
          <w:rFonts w:eastAsia="Times New Roman"/>
          <w:lang w:eastAsia="tr-TR"/>
        </w:rPr>
        <w:t>Karar</w:t>
      </w:r>
      <w:r w:rsidR="00B27B43">
        <w:rPr>
          <w:rFonts w:eastAsia="Times New Roman"/>
          <w:lang w:eastAsia="tr-TR"/>
        </w:rPr>
        <w:t>ı</w:t>
      </w:r>
      <w:r w:rsidR="00061D6D">
        <w:rPr>
          <w:rFonts w:eastAsia="Times New Roman"/>
          <w:lang w:eastAsia="tr-TR"/>
        </w:rPr>
        <w:t xml:space="preserve"> ile) </w:t>
      </w:r>
      <w:r w:rsidR="00945802">
        <w:rPr>
          <w:rFonts w:eastAsia="Times New Roman"/>
          <w:lang w:eastAsia="tr-TR"/>
        </w:rPr>
        <w:t>(13.02.2020 tarih ve 10/232 sayılı Kurul Kararı ile</w:t>
      </w:r>
      <w:r w:rsidR="001B5FDA">
        <w:rPr>
          <w:rFonts w:eastAsia="Times New Roman"/>
          <w:lang w:eastAsia="tr-TR"/>
        </w:rPr>
        <w:t xml:space="preserve"> yürürlükten kaldırılmıştır.</w:t>
      </w:r>
      <w:r w:rsidR="00945802">
        <w:rPr>
          <w:rFonts w:eastAsia="Times New Roman"/>
          <w:lang w:eastAsia="tr-TR"/>
        </w:rPr>
        <w:t>)</w:t>
      </w:r>
      <w:bookmarkEnd w:id="159"/>
      <w:bookmarkEnd w:id="160"/>
      <w:r w:rsidR="00945802">
        <w:rPr>
          <w:rFonts w:eastAsia="Times New Roman"/>
          <w:lang w:eastAsia="tr-TR"/>
        </w:rPr>
        <w:t xml:space="preserve"> </w:t>
      </w:r>
    </w:p>
    <w:p w:rsidR="005A75F6" w:rsidRDefault="005A75F6" w:rsidP="00BA4E4A">
      <w:pPr>
        <w:pStyle w:val="Heading2"/>
        <w:spacing w:after="240"/>
        <w:jc w:val="both"/>
      </w:pPr>
      <w:bookmarkStart w:id="161" w:name="_Toc130312565"/>
      <w:bookmarkStart w:id="162" w:name="_Toc130312698"/>
      <w:r w:rsidRPr="00D26A13">
        <w:t>4.</w:t>
      </w:r>
      <w:r>
        <w:t>8</w:t>
      </w:r>
      <w:r w:rsidRPr="00D26A13">
        <w:t xml:space="preserve">. </w:t>
      </w:r>
      <w:r>
        <w:t xml:space="preserve">(Ek:02.06.2020 tarih ve </w:t>
      </w:r>
      <w:r w:rsidRPr="00DE090B">
        <w:t xml:space="preserve">33/673 </w:t>
      </w:r>
      <w:r>
        <w:t xml:space="preserve">sayılı Kurul Kararı ile) </w:t>
      </w:r>
      <w:r w:rsidR="00BA4E4A">
        <w:t>(24.12.2020 tarih ve 78/1612 sayılı Kurul Kararı ile yürürlükten kaldırılmıştır.)</w:t>
      </w:r>
      <w:bookmarkEnd w:id="161"/>
      <w:bookmarkEnd w:id="162"/>
      <w:r w:rsidR="00BA4E4A">
        <w:t xml:space="preserve"> </w:t>
      </w:r>
    </w:p>
    <w:p w:rsidR="001E5D4D" w:rsidRDefault="001E5D4D" w:rsidP="001E5D4D">
      <w:pPr>
        <w:pStyle w:val="Heading2"/>
        <w:spacing w:after="240"/>
        <w:jc w:val="both"/>
        <w:rPr>
          <w:rFonts w:cs="Times New Roman"/>
          <w:szCs w:val="24"/>
        </w:rPr>
      </w:pPr>
      <w:bookmarkStart w:id="163" w:name="_Toc130312566"/>
      <w:bookmarkStart w:id="164" w:name="_Toc130312699"/>
      <w:r w:rsidRPr="00D26A13">
        <w:t>4.</w:t>
      </w:r>
      <w:r>
        <w:t>9</w:t>
      </w:r>
      <w:r w:rsidRPr="00D26A13">
        <w:t xml:space="preserve">. </w:t>
      </w:r>
      <w:r>
        <w:t>(Ek:06.01.2022 tarih ve 1/21</w:t>
      </w:r>
      <w:r w:rsidRPr="00DE090B">
        <w:t xml:space="preserve"> </w:t>
      </w:r>
      <w:r>
        <w:t xml:space="preserve">sayılı Kurul Kararı ile)  </w:t>
      </w:r>
      <w:r>
        <w:rPr>
          <w:rFonts w:cs="Times New Roman"/>
          <w:szCs w:val="24"/>
        </w:rPr>
        <w:t>Para Piyasası Fonlarına İlişkin Esaslar</w:t>
      </w:r>
      <w:bookmarkEnd w:id="163"/>
      <w:bookmarkEnd w:id="164"/>
    </w:p>
    <w:p w:rsidR="001E5D4D" w:rsidRDefault="001E5D4D" w:rsidP="001E5D4D">
      <w:pPr>
        <w:ind w:firstLine="709"/>
        <w:jc w:val="both"/>
        <w:rPr>
          <w:rFonts w:ascii="Times New Roman" w:hAnsi="Times New Roman" w:cs="Times New Roman"/>
          <w:sz w:val="24"/>
          <w:szCs w:val="24"/>
        </w:rPr>
      </w:pPr>
      <w:r>
        <w:rPr>
          <w:rFonts w:ascii="Times New Roman" w:hAnsi="Times New Roman" w:cs="Times New Roman"/>
          <w:sz w:val="24"/>
          <w:szCs w:val="24"/>
        </w:rPr>
        <w:t>Para piyasası fonlarının fon toplam değerinin azami %50’si mevduat/katılma hesaplarında değerlendirilebilir. Ancak tek bir bankada değerlendirilebilecek tutar fon toplam değerinin %6’sını aşamaz.</w:t>
      </w:r>
    </w:p>
    <w:p w:rsidR="001E5D4D" w:rsidRDefault="001E5D4D" w:rsidP="001E5D4D">
      <w:pPr>
        <w:ind w:firstLine="709"/>
        <w:jc w:val="both"/>
        <w:rPr>
          <w:rFonts w:ascii="Times New Roman" w:hAnsi="Times New Roman" w:cs="Times New Roman"/>
          <w:color w:val="1F497D"/>
          <w:sz w:val="24"/>
          <w:szCs w:val="24"/>
        </w:rPr>
      </w:pPr>
      <w:r>
        <w:rPr>
          <w:rFonts w:ascii="Times New Roman" w:hAnsi="Times New Roman" w:cs="Times New Roman"/>
          <w:sz w:val="24"/>
          <w:szCs w:val="24"/>
        </w:rPr>
        <w:t>Para piyasası katılım fonlarının fon toplam değerinin azami %50’si katılma hesaplarında değerlendirilebilir. Ancak tek bir bankada değerlendirilebilecek tutar fon toplam değerinin %20’sini aşamaz.</w:t>
      </w:r>
    </w:p>
    <w:p w:rsidR="001E5D4D" w:rsidRPr="00587303" w:rsidRDefault="001E5D4D" w:rsidP="001E5D4D">
      <w:pPr>
        <w:tabs>
          <w:tab w:val="left" w:pos="709"/>
        </w:tabs>
        <w:ind w:firstLine="708"/>
        <w:jc w:val="both"/>
        <w:rPr>
          <w:rFonts w:ascii="Times New Roman" w:eastAsia="Times New Roman" w:hAnsi="Times New Roman" w:cs="Times New Roman"/>
          <w:color w:val="000000"/>
          <w:sz w:val="24"/>
          <w:szCs w:val="24"/>
          <w:lang w:eastAsia="tr-TR"/>
        </w:rPr>
      </w:pPr>
      <w:r>
        <w:rPr>
          <w:rFonts w:ascii="Times New Roman" w:hAnsi="Times New Roman" w:cs="Times New Roman"/>
          <w:sz w:val="24"/>
          <w:szCs w:val="24"/>
        </w:rPr>
        <w:t>Bu fonlar için, Fon Tebliği’nin 17 nci maddesinin birinci fıkrasının (a), (b) ve (c) bentleri kapsamında yapılacak kontrollerde fon portföylerinde yer alan mevduat/katılma hesapları dikkate alınmaz.</w:t>
      </w:r>
    </w:p>
    <w:p w:rsidR="001E5D4D" w:rsidRPr="001E5D4D" w:rsidRDefault="001E5D4D" w:rsidP="001E5D4D"/>
    <w:p w:rsidR="00A56F15" w:rsidRDefault="009129F5" w:rsidP="00180CBC">
      <w:pPr>
        <w:pStyle w:val="Heading1"/>
        <w:spacing w:after="240"/>
      </w:pPr>
      <w:bookmarkStart w:id="165" w:name="_Toc130312567"/>
      <w:bookmarkStart w:id="166" w:name="_Toc130312700"/>
      <w:r>
        <w:t>5.</w:t>
      </w:r>
      <w:r w:rsidR="009612E3">
        <w:t xml:space="preserve"> </w:t>
      </w:r>
      <w:r w:rsidR="00A56F15" w:rsidRPr="005D5277">
        <w:t xml:space="preserve">Fon </w:t>
      </w:r>
      <w:r w:rsidR="00A56F15" w:rsidRPr="00A56F15">
        <w:t>Portföyündeki</w:t>
      </w:r>
      <w:r w:rsidR="00A56F15" w:rsidRPr="005D5277">
        <w:t xml:space="preserve"> Varlıkların Değerleme Esasları</w:t>
      </w:r>
      <w:bookmarkEnd w:id="165"/>
      <w:bookmarkEnd w:id="166"/>
    </w:p>
    <w:p w:rsidR="00A56F15" w:rsidRDefault="000D35A3" w:rsidP="00945802">
      <w:pPr>
        <w:pStyle w:val="Heading2"/>
        <w:spacing w:after="240"/>
        <w:jc w:val="both"/>
        <w:rPr>
          <w:rFonts w:eastAsia="Times New Roman"/>
          <w:lang w:eastAsia="tr-TR"/>
        </w:rPr>
      </w:pPr>
      <w:bookmarkStart w:id="167" w:name="_Toc130312568"/>
      <w:bookmarkStart w:id="168" w:name="_Toc130312701"/>
      <w:r w:rsidRPr="000D35A3">
        <w:rPr>
          <w:rFonts w:eastAsia="Times New Roman"/>
          <w:lang w:eastAsia="tr-TR"/>
        </w:rPr>
        <w:t xml:space="preserve">5.1. </w:t>
      </w:r>
      <w:r w:rsidR="0020711C" w:rsidRPr="0020711C">
        <w:rPr>
          <w:rFonts w:eastAsia="Times New Roman"/>
          <w:lang w:eastAsia="tr-TR"/>
        </w:rPr>
        <w:t>Sırası Kapatılan Ortaklık Payları ile İhraççısı Temerrüde Düşen ya da Borsada İşlem Görmekten Men Edilen Özel Sektör Borçlanma Araçlarına İlişkin Değerleme Esasları</w:t>
      </w:r>
      <w:bookmarkEnd w:id="167"/>
      <w:bookmarkEnd w:id="168"/>
    </w:p>
    <w:p w:rsidR="0020711C" w:rsidRPr="0020711C" w:rsidRDefault="00091080" w:rsidP="00091080">
      <w:pPr>
        <w:pStyle w:val="Heading3"/>
        <w:rPr>
          <w:rFonts w:eastAsia="Times New Roman"/>
          <w:lang w:eastAsia="tr-TR"/>
        </w:rPr>
      </w:pPr>
      <w:bookmarkStart w:id="169" w:name="_Toc130312569"/>
      <w:bookmarkStart w:id="170" w:name="_Toc130312702"/>
      <w:r>
        <w:rPr>
          <w:rFonts w:eastAsia="Times New Roman"/>
          <w:lang w:eastAsia="tr-TR"/>
        </w:rPr>
        <w:t>5.1.1</w:t>
      </w:r>
      <w:r w:rsidR="0020711C" w:rsidRPr="0020711C">
        <w:rPr>
          <w:rFonts w:eastAsia="Times New Roman"/>
          <w:lang w:eastAsia="tr-TR"/>
        </w:rPr>
        <w:t>. Sırası Kapatılan Ortaklık Paylarına ilişkin Değerleme Esasları</w:t>
      </w:r>
      <w:bookmarkEnd w:id="169"/>
      <w:bookmarkEnd w:id="170"/>
    </w:p>
    <w:p w:rsidR="00091080" w:rsidRDefault="00091080" w:rsidP="00C61FED">
      <w:pPr>
        <w:ind w:firstLine="708"/>
        <w:jc w:val="both"/>
        <w:rPr>
          <w:rFonts w:ascii="Times New Roman" w:eastAsia="Times New Roman" w:hAnsi="Times New Roman" w:cs="Times New Roman"/>
          <w:color w:val="000000"/>
          <w:sz w:val="24"/>
          <w:szCs w:val="24"/>
          <w:lang w:eastAsia="tr-TR"/>
        </w:rPr>
      </w:pPr>
    </w:p>
    <w:p w:rsidR="00FF38F6" w:rsidRPr="00587303" w:rsidRDefault="00FF38F6" w:rsidP="00C61FED">
      <w:pPr>
        <w:ind w:firstLine="708"/>
        <w:jc w:val="both"/>
        <w:rPr>
          <w:rFonts w:ascii="Times New Roman" w:eastAsia="Times New Roman" w:hAnsi="Times New Roman" w:cs="Times New Roman"/>
          <w:color w:val="000000"/>
          <w:sz w:val="24"/>
          <w:szCs w:val="24"/>
          <w:lang w:eastAsia="tr-TR"/>
        </w:rPr>
      </w:pPr>
      <w:r w:rsidRPr="00587303">
        <w:rPr>
          <w:rFonts w:ascii="Times New Roman" w:eastAsia="Times New Roman" w:hAnsi="Times New Roman" w:cs="Times New Roman"/>
          <w:color w:val="000000"/>
          <w:sz w:val="24"/>
          <w:szCs w:val="24"/>
          <w:lang w:eastAsia="tr-TR"/>
        </w:rPr>
        <w:t>Sırası kapatılan ortaklık payları için uygulanmak üzere;</w:t>
      </w:r>
    </w:p>
    <w:p w:rsidR="00A56F15" w:rsidRPr="0051763D" w:rsidRDefault="00A56F15" w:rsidP="00C61FED">
      <w:pPr>
        <w:shd w:val="clear" w:color="auto" w:fill="FFFFFF"/>
        <w:spacing w:after="240" w:line="240" w:lineRule="auto"/>
        <w:ind w:left="993" w:hanging="283"/>
        <w:jc w:val="both"/>
        <w:rPr>
          <w:rFonts w:ascii="Times New Roman" w:eastAsia="Times New Roman" w:hAnsi="Times New Roman" w:cs="Times New Roman"/>
          <w:sz w:val="24"/>
          <w:szCs w:val="24"/>
          <w:lang w:eastAsia="tr-TR"/>
        </w:rPr>
      </w:pPr>
      <w:r w:rsidRPr="00CE5BAA">
        <w:rPr>
          <w:rFonts w:ascii="Times New Roman" w:eastAsia="Times New Roman" w:hAnsi="Times New Roman" w:cs="Times New Roman"/>
          <w:bCs/>
          <w:sz w:val="24"/>
          <w:szCs w:val="24"/>
          <w:lang w:eastAsia="tr-TR"/>
        </w:rPr>
        <w:t>a)</w:t>
      </w:r>
      <w:r w:rsidR="003311D9">
        <w:rPr>
          <w:rFonts w:ascii="Times New Roman" w:eastAsia="Times New Roman" w:hAnsi="Times New Roman" w:cs="Times New Roman"/>
          <w:bCs/>
          <w:sz w:val="24"/>
          <w:szCs w:val="24"/>
          <w:lang w:eastAsia="tr-TR"/>
        </w:rPr>
        <w:t xml:space="preserve"> </w:t>
      </w:r>
      <w:r>
        <w:rPr>
          <w:rFonts w:ascii="Times New Roman" w:eastAsia="Times New Roman" w:hAnsi="Times New Roman" w:cs="Times New Roman"/>
          <w:sz w:val="24"/>
          <w:szCs w:val="24"/>
          <w:lang w:eastAsia="tr-TR"/>
        </w:rPr>
        <w:t>K</w:t>
      </w:r>
      <w:r w:rsidRPr="000100CE">
        <w:rPr>
          <w:rFonts w:ascii="Times New Roman" w:eastAsia="Times New Roman" w:hAnsi="Times New Roman" w:cs="Times New Roman"/>
          <w:sz w:val="24"/>
          <w:szCs w:val="24"/>
          <w:lang w:eastAsia="tr-TR"/>
        </w:rPr>
        <w:t xml:space="preserve">apatılmayı izleyen ilk 5 işlem gününde ortaklık paylarının </w:t>
      </w:r>
      <w:r>
        <w:rPr>
          <w:rFonts w:ascii="Times New Roman" w:eastAsia="Times New Roman" w:hAnsi="Times New Roman" w:cs="Times New Roman"/>
          <w:sz w:val="24"/>
          <w:szCs w:val="24"/>
          <w:lang w:eastAsia="tr-TR"/>
        </w:rPr>
        <w:t xml:space="preserve">Finansal Raporlama </w:t>
      </w:r>
      <w:r w:rsidRPr="009D534F">
        <w:rPr>
          <w:rFonts w:ascii="Times New Roman" w:eastAsia="Times New Roman" w:hAnsi="Times New Roman" w:cs="Times New Roman"/>
          <w:sz w:val="24"/>
          <w:szCs w:val="24"/>
          <w:lang w:eastAsia="tr-TR"/>
        </w:rPr>
        <w:t>Tebliği'nde</w:t>
      </w:r>
      <w:r w:rsidRPr="000100CE">
        <w:rPr>
          <w:rFonts w:ascii="Times New Roman" w:eastAsia="Times New Roman" w:hAnsi="Times New Roman" w:cs="Times New Roman"/>
          <w:sz w:val="24"/>
          <w:szCs w:val="24"/>
          <w:lang w:eastAsia="tr-TR"/>
        </w:rPr>
        <w:t xml:space="preserve"> öngörül</w:t>
      </w:r>
      <w:r>
        <w:rPr>
          <w:rFonts w:ascii="Times New Roman" w:eastAsia="Times New Roman" w:hAnsi="Times New Roman" w:cs="Times New Roman"/>
          <w:sz w:val="24"/>
          <w:szCs w:val="24"/>
          <w:lang w:eastAsia="tr-TR"/>
        </w:rPr>
        <w:t>en</w:t>
      </w:r>
      <w:r w:rsidR="003311D9">
        <w:rPr>
          <w:rFonts w:ascii="Times New Roman" w:eastAsia="Times New Roman" w:hAnsi="Times New Roman" w:cs="Times New Roman"/>
          <w:sz w:val="24"/>
          <w:szCs w:val="24"/>
          <w:lang w:eastAsia="tr-TR"/>
        </w:rPr>
        <w:t xml:space="preserve"> </w:t>
      </w:r>
      <w:r w:rsidRPr="0051763D">
        <w:rPr>
          <w:rFonts w:ascii="Times New Roman" w:eastAsia="Times New Roman" w:hAnsi="Times New Roman" w:cs="Times New Roman"/>
          <w:sz w:val="24"/>
          <w:szCs w:val="24"/>
          <w:lang w:eastAsia="tr-TR"/>
        </w:rPr>
        <w:t>şek</w:t>
      </w:r>
      <w:r>
        <w:rPr>
          <w:rFonts w:ascii="Times New Roman" w:eastAsia="Times New Roman" w:hAnsi="Times New Roman" w:cs="Times New Roman"/>
          <w:sz w:val="24"/>
          <w:szCs w:val="24"/>
          <w:lang w:eastAsia="tr-TR"/>
        </w:rPr>
        <w:t>ilde</w:t>
      </w:r>
      <w:r w:rsidRPr="0051763D">
        <w:rPr>
          <w:rFonts w:ascii="Times New Roman" w:eastAsia="Times New Roman" w:hAnsi="Times New Roman" w:cs="Times New Roman"/>
          <w:sz w:val="24"/>
          <w:szCs w:val="24"/>
          <w:lang w:eastAsia="tr-TR"/>
        </w:rPr>
        <w:t xml:space="preserve"> değerlenmesi,</w:t>
      </w:r>
    </w:p>
    <w:p w:rsidR="00A56F15" w:rsidRPr="000100CE" w:rsidRDefault="00A56F15" w:rsidP="00C61FED">
      <w:pPr>
        <w:shd w:val="clear" w:color="auto" w:fill="FFFFFF"/>
        <w:spacing w:after="240" w:line="240" w:lineRule="auto"/>
        <w:ind w:left="993" w:hanging="283"/>
        <w:jc w:val="both"/>
        <w:rPr>
          <w:rFonts w:ascii="Times New Roman" w:eastAsia="Times New Roman" w:hAnsi="Times New Roman" w:cs="Times New Roman"/>
          <w:sz w:val="24"/>
          <w:szCs w:val="24"/>
          <w:lang w:eastAsia="tr-TR"/>
        </w:rPr>
      </w:pPr>
      <w:r w:rsidRPr="00CE5BAA">
        <w:rPr>
          <w:rFonts w:ascii="Times New Roman" w:eastAsia="Times New Roman" w:hAnsi="Times New Roman" w:cs="Times New Roman"/>
          <w:bCs/>
          <w:sz w:val="24"/>
          <w:szCs w:val="24"/>
          <w:lang w:eastAsia="tr-TR"/>
        </w:rPr>
        <w:t>b)</w:t>
      </w:r>
      <w:r w:rsidRPr="0051763D">
        <w:rPr>
          <w:rFonts w:ascii="Times New Roman" w:eastAsia="Times New Roman" w:hAnsi="Times New Roman" w:cs="Times New Roman"/>
          <w:sz w:val="24"/>
          <w:szCs w:val="24"/>
          <w:lang w:eastAsia="tr-TR"/>
        </w:rPr>
        <w:t> Kapalılık halinin 6</w:t>
      </w:r>
      <w:r>
        <w:rPr>
          <w:rFonts w:ascii="Times New Roman" w:eastAsia="Times New Roman" w:hAnsi="Times New Roman" w:cs="Times New Roman"/>
          <w:sz w:val="24"/>
          <w:szCs w:val="24"/>
          <w:lang w:eastAsia="tr-TR"/>
        </w:rPr>
        <w:t>’ncı</w:t>
      </w:r>
      <w:r w:rsidRPr="0051763D">
        <w:rPr>
          <w:rFonts w:ascii="Times New Roman" w:eastAsia="Times New Roman" w:hAnsi="Times New Roman" w:cs="Times New Roman"/>
          <w:sz w:val="24"/>
          <w:szCs w:val="24"/>
          <w:lang w:eastAsia="tr-TR"/>
        </w:rPr>
        <w:t xml:space="preserve"> ve izleyen iş</w:t>
      </w:r>
      <w:r w:rsidR="00BE24EC">
        <w:rPr>
          <w:rFonts w:ascii="Times New Roman" w:eastAsia="Times New Roman" w:hAnsi="Times New Roman" w:cs="Times New Roman"/>
          <w:sz w:val="24"/>
          <w:szCs w:val="24"/>
          <w:lang w:eastAsia="tr-TR"/>
        </w:rPr>
        <w:t xml:space="preserve"> </w:t>
      </w:r>
      <w:r w:rsidRPr="0051763D">
        <w:rPr>
          <w:rFonts w:ascii="Times New Roman" w:eastAsia="Times New Roman" w:hAnsi="Times New Roman" w:cs="Times New Roman"/>
          <w:sz w:val="24"/>
          <w:szCs w:val="24"/>
          <w:lang w:eastAsia="tr-TR"/>
        </w:rPr>
        <w:t xml:space="preserve">günlerinde de devamı halinde; </w:t>
      </w:r>
      <w:r>
        <w:rPr>
          <w:rFonts w:ascii="Times New Roman" w:eastAsia="Times New Roman" w:hAnsi="Times New Roman" w:cs="Times New Roman"/>
          <w:sz w:val="24"/>
          <w:szCs w:val="24"/>
          <w:lang w:eastAsia="tr-TR"/>
        </w:rPr>
        <w:t xml:space="preserve">sırası kapatılan </w:t>
      </w:r>
      <w:r w:rsidRPr="000100CE">
        <w:rPr>
          <w:rFonts w:ascii="Times New Roman" w:eastAsia="Times New Roman" w:hAnsi="Times New Roman" w:cs="Times New Roman"/>
          <w:sz w:val="24"/>
          <w:szCs w:val="24"/>
          <w:lang w:eastAsia="tr-TR"/>
        </w:rPr>
        <w:t>ortaklık payının</w:t>
      </w:r>
      <w:r w:rsidR="003311D9">
        <w:rPr>
          <w:rFonts w:ascii="Times New Roman" w:eastAsia="Times New Roman" w:hAnsi="Times New Roman" w:cs="Times New Roman"/>
          <w:sz w:val="24"/>
          <w:szCs w:val="24"/>
          <w:lang w:eastAsia="tr-TR"/>
        </w:rPr>
        <w:t xml:space="preserve"> </w:t>
      </w:r>
      <w:r w:rsidR="007D57D1">
        <w:rPr>
          <w:rFonts w:ascii="Times New Roman" w:eastAsia="Times New Roman" w:hAnsi="Times New Roman" w:cs="Times New Roman"/>
          <w:sz w:val="24"/>
          <w:szCs w:val="24"/>
          <w:lang w:eastAsia="tr-TR"/>
        </w:rPr>
        <w:t>porföydeki değerinin</w:t>
      </w:r>
      <w:r w:rsidR="003311D9">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fon toplam değerine oranı</w:t>
      </w:r>
      <w:r w:rsidRPr="000100CE">
        <w:rPr>
          <w:rFonts w:ascii="Times New Roman" w:eastAsia="Times New Roman" w:hAnsi="Times New Roman" w:cs="Times New Roman"/>
          <w:sz w:val="24"/>
          <w:szCs w:val="24"/>
          <w:lang w:eastAsia="tr-TR"/>
        </w:rPr>
        <w:t>,</w:t>
      </w:r>
    </w:p>
    <w:p w:rsidR="00A56F15" w:rsidRPr="000100CE" w:rsidRDefault="00A56F15" w:rsidP="00E932C3">
      <w:pPr>
        <w:numPr>
          <w:ilvl w:val="0"/>
          <w:numId w:val="1"/>
        </w:numPr>
        <w:shd w:val="clear" w:color="auto" w:fill="FFFFFF"/>
        <w:tabs>
          <w:tab w:val="clear" w:pos="360"/>
          <w:tab w:val="num" w:pos="426"/>
        </w:tabs>
        <w:spacing w:after="240" w:line="240" w:lineRule="auto"/>
        <w:ind w:left="1276" w:right="-141" w:firstLine="0"/>
        <w:jc w:val="both"/>
        <w:rPr>
          <w:rFonts w:ascii="Times New Roman" w:eastAsia="Times New Roman" w:hAnsi="Times New Roman" w:cs="Times New Roman"/>
          <w:sz w:val="24"/>
          <w:szCs w:val="24"/>
          <w:lang w:eastAsia="tr-TR"/>
        </w:rPr>
      </w:pPr>
      <w:r w:rsidRPr="000100CE">
        <w:rPr>
          <w:rFonts w:ascii="Times New Roman" w:eastAsia="Times New Roman" w:hAnsi="Times New Roman" w:cs="Times New Roman"/>
          <w:sz w:val="24"/>
          <w:szCs w:val="24"/>
          <w:lang w:eastAsia="tr-TR"/>
        </w:rPr>
        <w:t xml:space="preserve">%1'e kadar </w:t>
      </w:r>
      <w:r>
        <w:rPr>
          <w:rFonts w:ascii="Times New Roman" w:eastAsia="Times New Roman" w:hAnsi="Times New Roman" w:cs="Times New Roman"/>
          <w:sz w:val="24"/>
          <w:szCs w:val="24"/>
          <w:lang w:eastAsia="tr-TR"/>
        </w:rPr>
        <w:t>ise</w:t>
      </w:r>
      <w:r w:rsidRPr="000100CE">
        <w:rPr>
          <w:rFonts w:ascii="Times New Roman" w:eastAsia="Times New Roman" w:hAnsi="Times New Roman" w:cs="Times New Roman"/>
          <w:sz w:val="24"/>
          <w:szCs w:val="24"/>
          <w:lang w:eastAsia="tr-TR"/>
        </w:rPr>
        <w:t xml:space="preserve"> 1 gün içinde,</w:t>
      </w:r>
    </w:p>
    <w:p w:rsidR="00A56F15" w:rsidRPr="000100CE" w:rsidRDefault="00A56F15" w:rsidP="00E932C3">
      <w:pPr>
        <w:numPr>
          <w:ilvl w:val="0"/>
          <w:numId w:val="1"/>
        </w:numPr>
        <w:shd w:val="clear" w:color="auto" w:fill="FFFFFF"/>
        <w:tabs>
          <w:tab w:val="clear" w:pos="360"/>
          <w:tab w:val="num" w:pos="426"/>
        </w:tabs>
        <w:spacing w:after="240" w:line="240" w:lineRule="auto"/>
        <w:ind w:left="1276" w:right="-141" w:firstLine="0"/>
        <w:jc w:val="both"/>
        <w:rPr>
          <w:rFonts w:ascii="Times New Roman" w:eastAsia="Times New Roman" w:hAnsi="Times New Roman" w:cs="Times New Roman"/>
          <w:sz w:val="24"/>
          <w:szCs w:val="24"/>
          <w:lang w:eastAsia="tr-TR"/>
        </w:rPr>
      </w:pPr>
      <w:r w:rsidRPr="000100CE">
        <w:rPr>
          <w:rFonts w:ascii="Times New Roman" w:eastAsia="Times New Roman" w:hAnsi="Times New Roman" w:cs="Times New Roman"/>
          <w:sz w:val="24"/>
          <w:szCs w:val="24"/>
          <w:lang w:eastAsia="tr-TR"/>
        </w:rPr>
        <w:t xml:space="preserve">%1 ile %5 arasında </w:t>
      </w:r>
      <w:r>
        <w:rPr>
          <w:rFonts w:ascii="Times New Roman" w:eastAsia="Times New Roman" w:hAnsi="Times New Roman" w:cs="Times New Roman"/>
          <w:sz w:val="24"/>
          <w:szCs w:val="24"/>
          <w:lang w:eastAsia="tr-TR"/>
        </w:rPr>
        <w:t>ise</w:t>
      </w:r>
      <w:r w:rsidRPr="000100CE">
        <w:rPr>
          <w:rFonts w:ascii="Times New Roman" w:eastAsia="Times New Roman" w:hAnsi="Times New Roman" w:cs="Times New Roman"/>
          <w:sz w:val="24"/>
          <w:szCs w:val="24"/>
          <w:lang w:eastAsia="tr-TR"/>
        </w:rPr>
        <w:t xml:space="preserve"> 30 gün içinde,</w:t>
      </w:r>
    </w:p>
    <w:p w:rsidR="00A56F15" w:rsidRPr="000100CE" w:rsidRDefault="00A56F15" w:rsidP="00C61FED">
      <w:pPr>
        <w:numPr>
          <w:ilvl w:val="0"/>
          <w:numId w:val="1"/>
        </w:numPr>
        <w:shd w:val="clear" w:color="auto" w:fill="FFFFFF"/>
        <w:tabs>
          <w:tab w:val="clear" w:pos="360"/>
          <w:tab w:val="num" w:pos="426"/>
        </w:tabs>
        <w:spacing w:after="240" w:line="240" w:lineRule="auto"/>
        <w:ind w:left="1276" w:firstLine="0"/>
        <w:jc w:val="both"/>
        <w:rPr>
          <w:rFonts w:ascii="Times New Roman" w:eastAsia="Times New Roman" w:hAnsi="Times New Roman" w:cs="Times New Roman"/>
          <w:sz w:val="24"/>
          <w:szCs w:val="24"/>
          <w:lang w:eastAsia="tr-TR"/>
        </w:rPr>
      </w:pPr>
      <w:r w:rsidRPr="000100CE">
        <w:rPr>
          <w:rFonts w:ascii="Times New Roman" w:eastAsia="Times New Roman" w:hAnsi="Times New Roman" w:cs="Times New Roman"/>
          <w:sz w:val="24"/>
          <w:szCs w:val="24"/>
          <w:lang w:eastAsia="tr-TR"/>
        </w:rPr>
        <w:t xml:space="preserve">%5'ten fazla </w:t>
      </w:r>
      <w:r>
        <w:rPr>
          <w:rFonts w:ascii="Times New Roman" w:eastAsia="Times New Roman" w:hAnsi="Times New Roman" w:cs="Times New Roman"/>
          <w:sz w:val="24"/>
          <w:szCs w:val="24"/>
          <w:lang w:eastAsia="tr-TR"/>
        </w:rPr>
        <w:t xml:space="preserve">olması halinde </w:t>
      </w:r>
      <w:r w:rsidRPr="000100CE">
        <w:rPr>
          <w:rFonts w:ascii="Times New Roman" w:eastAsia="Times New Roman" w:hAnsi="Times New Roman" w:cs="Times New Roman"/>
          <w:sz w:val="24"/>
          <w:szCs w:val="24"/>
          <w:lang w:eastAsia="tr-TR"/>
        </w:rPr>
        <w:t>ise 90 gün içinde,</w:t>
      </w:r>
    </w:p>
    <w:p w:rsidR="00A56F15" w:rsidRPr="000100CE" w:rsidRDefault="00A56F15" w:rsidP="00C61FED">
      <w:pPr>
        <w:shd w:val="clear" w:color="auto" w:fill="FFFFFF"/>
        <w:spacing w:after="240" w:line="240" w:lineRule="auto"/>
        <w:ind w:left="718"/>
        <w:jc w:val="both"/>
        <w:rPr>
          <w:rFonts w:ascii="Times New Roman" w:eastAsia="Times New Roman" w:hAnsi="Times New Roman" w:cs="Times New Roman"/>
          <w:sz w:val="24"/>
          <w:szCs w:val="24"/>
          <w:lang w:eastAsia="tr-TR"/>
        </w:rPr>
      </w:pPr>
      <w:r w:rsidRPr="000100CE">
        <w:rPr>
          <w:rFonts w:ascii="Times New Roman" w:eastAsia="Times New Roman" w:hAnsi="Times New Roman" w:cs="Times New Roman"/>
          <w:sz w:val="24"/>
          <w:szCs w:val="24"/>
          <w:lang w:eastAsia="tr-TR"/>
        </w:rPr>
        <w:t>günlük eşit tutarlarda karşılık ayrılarak</w:t>
      </w:r>
      <w:r w:rsidR="007D57D1">
        <w:rPr>
          <w:rFonts w:ascii="Times New Roman" w:eastAsia="Times New Roman" w:hAnsi="Times New Roman" w:cs="Times New Roman"/>
          <w:sz w:val="24"/>
          <w:szCs w:val="24"/>
          <w:lang w:eastAsia="tr-TR"/>
        </w:rPr>
        <w:t xml:space="preserve"> söz konusu ortaklık payının</w:t>
      </w:r>
      <w:r w:rsidR="003311D9">
        <w:rPr>
          <w:rFonts w:ascii="Times New Roman" w:eastAsia="Times New Roman" w:hAnsi="Times New Roman" w:cs="Times New Roman"/>
          <w:sz w:val="24"/>
          <w:szCs w:val="24"/>
          <w:lang w:eastAsia="tr-TR"/>
        </w:rPr>
        <w:t xml:space="preserve"> </w:t>
      </w:r>
      <w:r w:rsidR="007D57D1">
        <w:rPr>
          <w:rFonts w:ascii="Times New Roman" w:eastAsia="Times New Roman" w:hAnsi="Times New Roman" w:cs="Times New Roman"/>
          <w:sz w:val="24"/>
          <w:szCs w:val="24"/>
          <w:lang w:eastAsia="tr-TR"/>
        </w:rPr>
        <w:t xml:space="preserve">portföydeki </w:t>
      </w:r>
      <w:r w:rsidRPr="000100CE">
        <w:rPr>
          <w:rFonts w:ascii="Times New Roman" w:eastAsia="Times New Roman" w:hAnsi="Times New Roman" w:cs="Times New Roman"/>
          <w:sz w:val="24"/>
          <w:szCs w:val="24"/>
          <w:lang w:eastAsia="tr-TR"/>
        </w:rPr>
        <w:t>değerinin sıfıra indir</w:t>
      </w:r>
      <w:r>
        <w:rPr>
          <w:rFonts w:ascii="Times New Roman" w:eastAsia="Times New Roman" w:hAnsi="Times New Roman" w:cs="Times New Roman"/>
          <w:sz w:val="24"/>
          <w:szCs w:val="24"/>
          <w:lang w:eastAsia="tr-TR"/>
        </w:rPr>
        <w:t>il</w:t>
      </w:r>
      <w:r w:rsidRPr="000100CE">
        <w:rPr>
          <w:rFonts w:ascii="Times New Roman" w:eastAsia="Times New Roman" w:hAnsi="Times New Roman" w:cs="Times New Roman"/>
          <w:sz w:val="24"/>
          <w:szCs w:val="24"/>
          <w:lang w:eastAsia="tr-TR"/>
        </w:rPr>
        <w:t>mesi,</w:t>
      </w:r>
    </w:p>
    <w:p w:rsidR="00A56F15" w:rsidRPr="000100CE" w:rsidRDefault="00A56F15" w:rsidP="00C61FED">
      <w:pPr>
        <w:shd w:val="clear" w:color="auto" w:fill="FFFFFF"/>
        <w:spacing w:after="240" w:line="240" w:lineRule="auto"/>
        <w:ind w:left="993" w:hanging="285"/>
        <w:jc w:val="both"/>
        <w:rPr>
          <w:rFonts w:ascii="Times New Roman" w:eastAsia="Times New Roman" w:hAnsi="Times New Roman" w:cs="Times New Roman"/>
          <w:sz w:val="24"/>
          <w:szCs w:val="24"/>
          <w:lang w:eastAsia="tr-TR"/>
        </w:rPr>
      </w:pPr>
      <w:r w:rsidRPr="00CE5BAA">
        <w:rPr>
          <w:rFonts w:ascii="Times New Roman" w:eastAsia="Times New Roman" w:hAnsi="Times New Roman" w:cs="Times New Roman"/>
          <w:bCs/>
          <w:sz w:val="24"/>
          <w:szCs w:val="24"/>
          <w:lang w:eastAsia="tr-TR"/>
        </w:rPr>
        <w:t>c)</w:t>
      </w:r>
      <w:r w:rsidR="002929F2">
        <w:rPr>
          <w:rFonts w:ascii="Times New Roman" w:eastAsia="Times New Roman" w:hAnsi="Times New Roman" w:cs="Times New Roman"/>
          <w:bCs/>
          <w:sz w:val="24"/>
          <w:szCs w:val="24"/>
          <w:lang w:eastAsia="tr-TR"/>
        </w:rPr>
        <w:t xml:space="preserve"> </w:t>
      </w:r>
      <w:r w:rsidR="007D57D1">
        <w:rPr>
          <w:rFonts w:ascii="Times New Roman" w:eastAsia="Times New Roman" w:hAnsi="Times New Roman" w:cs="Times New Roman"/>
          <w:sz w:val="24"/>
          <w:szCs w:val="24"/>
          <w:lang w:eastAsia="tr-TR"/>
        </w:rPr>
        <w:t>Söz konusu o</w:t>
      </w:r>
      <w:r w:rsidRPr="000100CE">
        <w:rPr>
          <w:rFonts w:ascii="Times New Roman" w:eastAsia="Times New Roman" w:hAnsi="Times New Roman" w:cs="Times New Roman"/>
          <w:sz w:val="24"/>
          <w:szCs w:val="24"/>
          <w:lang w:eastAsia="tr-TR"/>
        </w:rPr>
        <w:t>rtaklık payı</w:t>
      </w:r>
      <w:r w:rsidR="007D57D1">
        <w:rPr>
          <w:rFonts w:ascii="Times New Roman" w:eastAsia="Times New Roman" w:hAnsi="Times New Roman" w:cs="Times New Roman"/>
          <w:sz w:val="24"/>
          <w:szCs w:val="24"/>
          <w:lang w:eastAsia="tr-TR"/>
        </w:rPr>
        <w:t>nın</w:t>
      </w:r>
      <w:r w:rsidRPr="000100CE">
        <w:rPr>
          <w:rFonts w:ascii="Times New Roman" w:eastAsia="Times New Roman" w:hAnsi="Times New Roman" w:cs="Times New Roman"/>
          <w:sz w:val="24"/>
          <w:szCs w:val="24"/>
          <w:lang w:eastAsia="tr-TR"/>
        </w:rPr>
        <w:t xml:space="preserve"> işlem sırasının, ayrılan karşılık tutarının %100'e ulaşmasından sonra açılması halinde, sırasının açıldığı ilk </w:t>
      </w:r>
      <w:r>
        <w:rPr>
          <w:rFonts w:ascii="Times New Roman" w:eastAsia="Times New Roman" w:hAnsi="Times New Roman" w:cs="Times New Roman"/>
          <w:sz w:val="24"/>
          <w:szCs w:val="24"/>
          <w:lang w:eastAsia="tr-TR"/>
        </w:rPr>
        <w:t xml:space="preserve">işlem </w:t>
      </w:r>
      <w:r w:rsidRPr="000100CE">
        <w:rPr>
          <w:rFonts w:ascii="Times New Roman" w:eastAsia="Times New Roman" w:hAnsi="Times New Roman" w:cs="Times New Roman"/>
          <w:sz w:val="24"/>
          <w:szCs w:val="24"/>
          <w:lang w:eastAsia="tr-TR"/>
        </w:rPr>
        <w:t>gün</w:t>
      </w:r>
      <w:r>
        <w:rPr>
          <w:rFonts w:ascii="Times New Roman" w:eastAsia="Times New Roman" w:hAnsi="Times New Roman" w:cs="Times New Roman"/>
          <w:sz w:val="24"/>
          <w:szCs w:val="24"/>
          <w:lang w:eastAsia="tr-TR"/>
        </w:rPr>
        <w:t>ü</w:t>
      </w:r>
      <w:r w:rsidR="009612E3">
        <w:rPr>
          <w:rFonts w:ascii="Times New Roman" w:eastAsia="Times New Roman" w:hAnsi="Times New Roman" w:cs="Times New Roman"/>
          <w:sz w:val="24"/>
          <w:szCs w:val="24"/>
          <w:lang w:eastAsia="tr-TR"/>
        </w:rPr>
        <w:t xml:space="preserve"> </w:t>
      </w:r>
      <w:r w:rsidR="007D57D1">
        <w:rPr>
          <w:rFonts w:ascii="Times New Roman" w:eastAsia="Times New Roman" w:hAnsi="Times New Roman" w:cs="Times New Roman"/>
          <w:sz w:val="24"/>
          <w:szCs w:val="24"/>
          <w:lang w:eastAsia="tr-TR"/>
        </w:rPr>
        <w:t xml:space="preserve">Finansal Raporlama </w:t>
      </w:r>
      <w:r w:rsidR="007D57D1" w:rsidRPr="009D534F">
        <w:rPr>
          <w:rFonts w:ascii="Times New Roman" w:eastAsia="Times New Roman" w:hAnsi="Times New Roman" w:cs="Times New Roman"/>
          <w:sz w:val="24"/>
          <w:szCs w:val="24"/>
          <w:lang w:eastAsia="tr-TR"/>
        </w:rPr>
        <w:t>Tebliği'nde</w:t>
      </w:r>
      <w:r w:rsidR="007D57D1" w:rsidRPr="000100CE">
        <w:rPr>
          <w:rFonts w:ascii="Times New Roman" w:eastAsia="Times New Roman" w:hAnsi="Times New Roman" w:cs="Times New Roman"/>
          <w:sz w:val="24"/>
          <w:szCs w:val="24"/>
          <w:lang w:eastAsia="tr-TR"/>
        </w:rPr>
        <w:t xml:space="preserve"> öngörül</w:t>
      </w:r>
      <w:r w:rsidR="007D57D1">
        <w:rPr>
          <w:rFonts w:ascii="Times New Roman" w:eastAsia="Times New Roman" w:hAnsi="Times New Roman" w:cs="Times New Roman"/>
          <w:sz w:val="24"/>
          <w:szCs w:val="24"/>
          <w:lang w:eastAsia="tr-TR"/>
        </w:rPr>
        <w:t>en</w:t>
      </w:r>
      <w:r w:rsidR="00BE24EC">
        <w:rPr>
          <w:rFonts w:ascii="Times New Roman" w:eastAsia="Times New Roman" w:hAnsi="Times New Roman" w:cs="Times New Roman"/>
          <w:sz w:val="24"/>
          <w:szCs w:val="24"/>
          <w:lang w:eastAsia="tr-TR"/>
        </w:rPr>
        <w:t xml:space="preserve"> </w:t>
      </w:r>
      <w:r w:rsidR="007D57D1" w:rsidRPr="0051763D">
        <w:rPr>
          <w:rFonts w:ascii="Times New Roman" w:eastAsia="Times New Roman" w:hAnsi="Times New Roman" w:cs="Times New Roman"/>
          <w:sz w:val="24"/>
          <w:szCs w:val="24"/>
          <w:lang w:eastAsia="tr-TR"/>
        </w:rPr>
        <w:t>şek</w:t>
      </w:r>
      <w:r w:rsidR="007D57D1">
        <w:rPr>
          <w:rFonts w:ascii="Times New Roman" w:eastAsia="Times New Roman" w:hAnsi="Times New Roman" w:cs="Times New Roman"/>
          <w:sz w:val="24"/>
          <w:szCs w:val="24"/>
          <w:lang w:eastAsia="tr-TR"/>
        </w:rPr>
        <w:t>ilde</w:t>
      </w:r>
      <w:r w:rsidRPr="0051763D">
        <w:rPr>
          <w:rFonts w:ascii="Times New Roman" w:eastAsia="Times New Roman" w:hAnsi="Times New Roman" w:cs="Times New Roman"/>
          <w:sz w:val="24"/>
          <w:szCs w:val="24"/>
          <w:lang w:eastAsia="tr-TR"/>
        </w:rPr>
        <w:t xml:space="preserve"> hesaplanacak değerinin (b) bendinde belirtilen ağırlık dikkate alınarak 1, 30 veya 90 günlük zaman diliminde eşit tutarlarda portföylere gelir olarak yansıtılması, ikinci iş </w:t>
      </w:r>
      <w:r w:rsidRPr="000100CE">
        <w:rPr>
          <w:rFonts w:ascii="Times New Roman" w:eastAsia="Times New Roman" w:hAnsi="Times New Roman" w:cs="Times New Roman"/>
          <w:sz w:val="24"/>
          <w:szCs w:val="24"/>
          <w:lang w:eastAsia="tr-TR"/>
        </w:rPr>
        <w:t xml:space="preserve">gününden itibaren ise </w:t>
      </w:r>
      <w:r>
        <w:rPr>
          <w:rFonts w:ascii="Times New Roman" w:eastAsia="Times New Roman" w:hAnsi="Times New Roman" w:cs="Times New Roman"/>
          <w:sz w:val="24"/>
          <w:szCs w:val="24"/>
          <w:lang w:eastAsia="tr-TR"/>
        </w:rPr>
        <w:t xml:space="preserve">Finansal Raporlama Tebliğ </w:t>
      </w:r>
      <w:r w:rsidRPr="000100CE">
        <w:rPr>
          <w:rFonts w:ascii="Times New Roman" w:eastAsia="Times New Roman" w:hAnsi="Times New Roman" w:cs="Times New Roman"/>
          <w:sz w:val="24"/>
          <w:szCs w:val="24"/>
          <w:lang w:eastAsia="tr-TR"/>
        </w:rPr>
        <w:t>hükümleri çerçevesinde değerlemeye başlanarak değer artış veya azalışlarının portföye yansıtılması,</w:t>
      </w:r>
    </w:p>
    <w:p w:rsidR="00A56F15" w:rsidRPr="000100CE" w:rsidRDefault="00A56F15" w:rsidP="00C61FED">
      <w:pPr>
        <w:shd w:val="clear" w:color="auto" w:fill="FFFFFF"/>
        <w:spacing w:after="240" w:line="240" w:lineRule="auto"/>
        <w:ind w:left="993" w:hanging="284"/>
        <w:jc w:val="both"/>
        <w:rPr>
          <w:rFonts w:ascii="Times New Roman" w:eastAsia="Times New Roman" w:hAnsi="Times New Roman" w:cs="Times New Roman"/>
          <w:sz w:val="24"/>
          <w:szCs w:val="24"/>
          <w:lang w:eastAsia="tr-TR"/>
        </w:rPr>
      </w:pPr>
      <w:r w:rsidRPr="00CE5BAA">
        <w:rPr>
          <w:rFonts w:ascii="Times New Roman" w:eastAsia="Times New Roman" w:hAnsi="Times New Roman" w:cs="Times New Roman"/>
          <w:bCs/>
          <w:sz w:val="24"/>
          <w:szCs w:val="24"/>
          <w:lang w:eastAsia="tr-TR"/>
        </w:rPr>
        <w:t>d)</w:t>
      </w:r>
      <w:r w:rsidR="002929F2">
        <w:rPr>
          <w:rFonts w:ascii="Times New Roman" w:eastAsia="Times New Roman" w:hAnsi="Times New Roman" w:cs="Times New Roman"/>
          <w:bCs/>
          <w:sz w:val="24"/>
          <w:szCs w:val="24"/>
          <w:lang w:eastAsia="tr-TR"/>
        </w:rPr>
        <w:t xml:space="preserve"> </w:t>
      </w:r>
      <w:r w:rsidR="007D57D1">
        <w:rPr>
          <w:rFonts w:ascii="Times New Roman" w:eastAsia="Times New Roman" w:hAnsi="Times New Roman" w:cs="Times New Roman"/>
          <w:sz w:val="24"/>
          <w:szCs w:val="24"/>
          <w:lang w:eastAsia="tr-TR"/>
        </w:rPr>
        <w:t>Söz konusu o</w:t>
      </w:r>
      <w:r w:rsidRPr="000100CE">
        <w:rPr>
          <w:rFonts w:ascii="Times New Roman" w:eastAsia="Times New Roman" w:hAnsi="Times New Roman" w:cs="Times New Roman"/>
          <w:sz w:val="24"/>
          <w:szCs w:val="24"/>
          <w:lang w:eastAsia="tr-TR"/>
        </w:rPr>
        <w:t>rtaklık payı</w:t>
      </w:r>
      <w:r w:rsidR="007D57D1">
        <w:rPr>
          <w:rFonts w:ascii="Times New Roman" w:eastAsia="Times New Roman" w:hAnsi="Times New Roman" w:cs="Times New Roman"/>
          <w:sz w:val="24"/>
          <w:szCs w:val="24"/>
          <w:lang w:eastAsia="tr-TR"/>
        </w:rPr>
        <w:t>nın</w:t>
      </w:r>
      <w:r w:rsidRPr="000100CE">
        <w:rPr>
          <w:rFonts w:ascii="Times New Roman" w:eastAsia="Times New Roman" w:hAnsi="Times New Roman" w:cs="Times New Roman"/>
          <w:sz w:val="24"/>
          <w:szCs w:val="24"/>
          <w:lang w:eastAsia="tr-TR"/>
        </w:rPr>
        <w:t xml:space="preserve"> işlem sırasının, ayrılan karşılık tutarının % 100'e ulaşmadan önce açılması halinde ise, kayıtlı değeri (sırasının kapatıldığı zamanki fiyatı ile karşılık tutarının farkı) ile işlem görmeye başladığı günkü </w:t>
      </w:r>
      <w:r w:rsidR="007D57D1">
        <w:rPr>
          <w:rFonts w:ascii="Times New Roman" w:eastAsia="Times New Roman" w:hAnsi="Times New Roman" w:cs="Times New Roman"/>
          <w:sz w:val="24"/>
          <w:szCs w:val="24"/>
          <w:lang w:eastAsia="tr-TR"/>
        </w:rPr>
        <w:t xml:space="preserve">Finansal Raporlama </w:t>
      </w:r>
      <w:r w:rsidR="007D57D1" w:rsidRPr="009D534F">
        <w:rPr>
          <w:rFonts w:ascii="Times New Roman" w:eastAsia="Times New Roman" w:hAnsi="Times New Roman" w:cs="Times New Roman"/>
          <w:sz w:val="24"/>
          <w:szCs w:val="24"/>
          <w:lang w:eastAsia="tr-TR"/>
        </w:rPr>
        <w:t>Tebliği'nde</w:t>
      </w:r>
      <w:r w:rsidR="007D57D1" w:rsidRPr="000100CE">
        <w:rPr>
          <w:rFonts w:ascii="Times New Roman" w:eastAsia="Times New Roman" w:hAnsi="Times New Roman" w:cs="Times New Roman"/>
          <w:sz w:val="24"/>
          <w:szCs w:val="24"/>
          <w:lang w:eastAsia="tr-TR"/>
        </w:rPr>
        <w:t xml:space="preserve"> öngörül</w:t>
      </w:r>
      <w:r w:rsidR="007D57D1">
        <w:rPr>
          <w:rFonts w:ascii="Times New Roman" w:eastAsia="Times New Roman" w:hAnsi="Times New Roman" w:cs="Times New Roman"/>
          <w:sz w:val="24"/>
          <w:szCs w:val="24"/>
          <w:lang w:eastAsia="tr-TR"/>
        </w:rPr>
        <w:t>en</w:t>
      </w:r>
      <w:r w:rsidR="00BE24EC">
        <w:rPr>
          <w:rFonts w:ascii="Times New Roman" w:eastAsia="Times New Roman" w:hAnsi="Times New Roman" w:cs="Times New Roman"/>
          <w:sz w:val="24"/>
          <w:szCs w:val="24"/>
          <w:lang w:eastAsia="tr-TR"/>
        </w:rPr>
        <w:t xml:space="preserve"> </w:t>
      </w:r>
      <w:r w:rsidR="007D57D1" w:rsidRPr="0051763D">
        <w:rPr>
          <w:rFonts w:ascii="Times New Roman" w:eastAsia="Times New Roman" w:hAnsi="Times New Roman" w:cs="Times New Roman"/>
          <w:sz w:val="24"/>
          <w:szCs w:val="24"/>
          <w:lang w:eastAsia="tr-TR"/>
        </w:rPr>
        <w:t>şek</w:t>
      </w:r>
      <w:r w:rsidR="007D57D1">
        <w:rPr>
          <w:rFonts w:ascii="Times New Roman" w:eastAsia="Times New Roman" w:hAnsi="Times New Roman" w:cs="Times New Roman"/>
          <w:sz w:val="24"/>
          <w:szCs w:val="24"/>
          <w:lang w:eastAsia="tr-TR"/>
        </w:rPr>
        <w:t>ilde</w:t>
      </w:r>
      <w:r w:rsidR="00BE24EC">
        <w:rPr>
          <w:rFonts w:ascii="Times New Roman" w:eastAsia="Times New Roman" w:hAnsi="Times New Roman" w:cs="Times New Roman"/>
          <w:sz w:val="24"/>
          <w:szCs w:val="24"/>
          <w:lang w:eastAsia="tr-TR"/>
        </w:rPr>
        <w:t xml:space="preserve"> </w:t>
      </w:r>
      <w:r w:rsidR="007D57D1">
        <w:rPr>
          <w:rFonts w:ascii="Times New Roman" w:eastAsia="Times New Roman" w:hAnsi="Times New Roman" w:cs="Times New Roman"/>
          <w:sz w:val="24"/>
          <w:szCs w:val="24"/>
          <w:lang w:eastAsia="tr-TR"/>
        </w:rPr>
        <w:t>hesaplanan değeri</w:t>
      </w:r>
      <w:r w:rsidRPr="000100CE">
        <w:rPr>
          <w:rFonts w:ascii="Times New Roman" w:eastAsia="Times New Roman" w:hAnsi="Times New Roman" w:cs="Times New Roman"/>
          <w:sz w:val="24"/>
          <w:szCs w:val="24"/>
          <w:lang w:eastAsia="tr-TR"/>
        </w:rPr>
        <w:t xml:space="preserve"> arasındaki olumlu farkın karşılık ayrıldığı süreye eşit gün içinde fona eşit tutarlarda gelir, olumsuz farkın ise (b) bendinde belirtilen süreler tamamlanacak şekilde eşit tutarlarda gider olarak kaydedilmesi, ikinci iş gününden itibaren ise </w:t>
      </w:r>
      <w:r>
        <w:rPr>
          <w:rFonts w:ascii="Times New Roman" w:eastAsia="Times New Roman" w:hAnsi="Times New Roman" w:cs="Times New Roman"/>
          <w:sz w:val="24"/>
          <w:szCs w:val="24"/>
          <w:lang w:eastAsia="tr-TR"/>
        </w:rPr>
        <w:t xml:space="preserve">Finansal Raporlama Tebliği </w:t>
      </w:r>
      <w:r w:rsidRPr="000100CE">
        <w:rPr>
          <w:rFonts w:ascii="Times New Roman" w:eastAsia="Times New Roman" w:hAnsi="Times New Roman" w:cs="Times New Roman"/>
          <w:sz w:val="24"/>
          <w:szCs w:val="24"/>
          <w:lang w:eastAsia="tr-TR"/>
        </w:rPr>
        <w:t>hükümleri çerçevesinde değerlemeye başlanarak değer artış veya azalışlarının portföye yansıtılması</w:t>
      </w:r>
    </w:p>
    <w:p w:rsidR="00A56F15" w:rsidRPr="000100CE" w:rsidRDefault="00A56F15" w:rsidP="00C61FED">
      <w:pPr>
        <w:shd w:val="clear" w:color="auto" w:fill="FFFFFF"/>
        <w:spacing w:after="240" w:line="240" w:lineRule="auto"/>
        <w:ind w:left="150" w:firstLine="417"/>
        <w:jc w:val="both"/>
        <w:rPr>
          <w:rFonts w:ascii="Times New Roman" w:eastAsia="Times New Roman" w:hAnsi="Times New Roman" w:cs="Times New Roman"/>
          <w:sz w:val="24"/>
          <w:szCs w:val="24"/>
          <w:lang w:eastAsia="tr-TR"/>
        </w:rPr>
      </w:pPr>
      <w:r w:rsidRPr="000100CE">
        <w:rPr>
          <w:rFonts w:ascii="Times New Roman" w:eastAsia="Times New Roman" w:hAnsi="Times New Roman" w:cs="Times New Roman"/>
          <w:sz w:val="24"/>
          <w:szCs w:val="24"/>
          <w:lang w:eastAsia="tr-TR"/>
        </w:rPr>
        <w:t>gerekir.</w:t>
      </w:r>
    </w:p>
    <w:p w:rsidR="00A56F15" w:rsidRDefault="00A56F15" w:rsidP="00C61FED">
      <w:pPr>
        <w:shd w:val="clear" w:color="auto" w:fill="FFFFFF"/>
        <w:spacing w:after="240" w:line="240" w:lineRule="auto"/>
        <w:ind w:left="993" w:hanging="284"/>
        <w:jc w:val="both"/>
        <w:rPr>
          <w:rFonts w:ascii="Times New Roman" w:eastAsia="Times New Roman" w:hAnsi="Times New Roman" w:cs="Times New Roman"/>
          <w:sz w:val="24"/>
          <w:szCs w:val="24"/>
          <w:lang w:eastAsia="tr-TR"/>
        </w:rPr>
      </w:pPr>
      <w:r w:rsidRPr="00BE24EC">
        <w:rPr>
          <w:rFonts w:ascii="Times New Roman" w:eastAsia="Times New Roman" w:hAnsi="Times New Roman" w:cs="Times New Roman"/>
          <w:sz w:val="24"/>
          <w:szCs w:val="24"/>
          <w:lang w:eastAsia="tr-TR"/>
        </w:rPr>
        <w:t>e) İşlem sırası kapalı ortaklık paylarının</w:t>
      </w:r>
      <w:r w:rsidR="00BE24EC" w:rsidRPr="00BE24EC">
        <w:rPr>
          <w:rFonts w:ascii="Times New Roman" w:eastAsia="Times New Roman" w:hAnsi="Times New Roman" w:cs="Times New Roman"/>
          <w:sz w:val="24"/>
          <w:szCs w:val="24"/>
          <w:lang w:eastAsia="tr-TR"/>
        </w:rPr>
        <w:t xml:space="preserve"> </w:t>
      </w:r>
      <w:r w:rsidRPr="00BE24EC">
        <w:rPr>
          <w:rFonts w:ascii="Times New Roman" w:eastAsia="Times New Roman" w:hAnsi="Times New Roman" w:cs="Times New Roman"/>
          <w:sz w:val="24"/>
          <w:szCs w:val="24"/>
          <w:lang w:eastAsia="tr-TR"/>
        </w:rPr>
        <w:t>en son işlem günündeki Borsa kapanış fiyatı üzerinden</w:t>
      </w:r>
      <w:r w:rsidR="00165A91" w:rsidRPr="00BE24EC">
        <w:rPr>
          <w:rFonts w:ascii="Times New Roman" w:eastAsia="Times New Roman" w:hAnsi="Times New Roman" w:cs="Times New Roman"/>
          <w:sz w:val="24"/>
          <w:szCs w:val="24"/>
          <w:lang w:eastAsia="tr-TR"/>
        </w:rPr>
        <w:t xml:space="preserve"> </w:t>
      </w:r>
      <w:r w:rsidRPr="00BE24EC">
        <w:rPr>
          <w:rFonts w:ascii="Times New Roman" w:eastAsia="Times New Roman" w:hAnsi="Times New Roman" w:cs="Times New Roman"/>
          <w:sz w:val="24"/>
          <w:szCs w:val="24"/>
          <w:lang w:eastAsia="tr-TR"/>
        </w:rPr>
        <w:t>portföyden</w:t>
      </w:r>
      <w:r>
        <w:rPr>
          <w:rFonts w:ascii="Times New Roman" w:eastAsia="Times New Roman" w:hAnsi="Times New Roman" w:cs="Times New Roman"/>
          <w:sz w:val="24"/>
          <w:szCs w:val="24"/>
          <w:lang w:eastAsia="tr-TR"/>
        </w:rPr>
        <w:t xml:space="preserve"> çıkarılması</w:t>
      </w:r>
      <w:r w:rsidRPr="000100CE">
        <w:rPr>
          <w:rFonts w:ascii="Times New Roman" w:eastAsia="Times New Roman" w:hAnsi="Times New Roman" w:cs="Times New Roman"/>
          <w:sz w:val="24"/>
          <w:szCs w:val="24"/>
          <w:lang w:eastAsia="tr-TR"/>
        </w:rPr>
        <w:t xml:space="preserve"> mümkündür.</w:t>
      </w:r>
    </w:p>
    <w:p w:rsidR="000D35A3" w:rsidRDefault="00092FEE" w:rsidP="00C61FED">
      <w:pPr>
        <w:shd w:val="clear" w:color="auto" w:fill="FFFFFF"/>
        <w:spacing w:after="240" w:line="240" w:lineRule="auto"/>
        <w:ind w:left="993" w:hanging="284"/>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f) İkincil halka arzlar sırasında işlem sırası kapatılan ortaklık payları için yukarıda yer alan hükümler uygulanmaz. Söz konusu </w:t>
      </w:r>
      <w:r w:rsidR="00C61FED">
        <w:rPr>
          <w:rFonts w:ascii="Times New Roman" w:eastAsia="Times New Roman" w:hAnsi="Times New Roman" w:cs="Times New Roman"/>
          <w:sz w:val="24"/>
          <w:szCs w:val="24"/>
          <w:lang w:eastAsia="tr-TR"/>
        </w:rPr>
        <w:t xml:space="preserve">ortaklık </w:t>
      </w:r>
      <w:r>
        <w:rPr>
          <w:rFonts w:ascii="Times New Roman" w:eastAsia="Times New Roman" w:hAnsi="Times New Roman" w:cs="Times New Roman"/>
          <w:sz w:val="24"/>
          <w:szCs w:val="24"/>
          <w:lang w:eastAsia="tr-TR"/>
        </w:rPr>
        <w:t>paylar</w:t>
      </w:r>
      <w:r w:rsidR="00C61FED">
        <w:rPr>
          <w:rFonts w:ascii="Times New Roman" w:eastAsia="Times New Roman" w:hAnsi="Times New Roman" w:cs="Times New Roman"/>
          <w:sz w:val="24"/>
          <w:szCs w:val="24"/>
          <w:lang w:eastAsia="tr-TR"/>
        </w:rPr>
        <w:t>ı</w:t>
      </w:r>
      <w:r>
        <w:rPr>
          <w:rFonts w:ascii="Times New Roman" w:eastAsia="Times New Roman" w:hAnsi="Times New Roman" w:cs="Times New Roman"/>
          <w:sz w:val="24"/>
          <w:szCs w:val="24"/>
          <w:lang w:eastAsia="tr-TR"/>
        </w:rPr>
        <w:t>,</w:t>
      </w:r>
      <w:r w:rsidR="003311D9">
        <w:rPr>
          <w:rFonts w:ascii="Times New Roman" w:eastAsia="Times New Roman" w:hAnsi="Times New Roman" w:cs="Times New Roman"/>
          <w:sz w:val="24"/>
          <w:szCs w:val="24"/>
          <w:lang w:eastAsia="tr-TR"/>
        </w:rPr>
        <w:t xml:space="preserve"> </w:t>
      </w:r>
      <w:r w:rsidR="00C61FED" w:rsidRPr="00C61FED">
        <w:rPr>
          <w:rFonts w:ascii="Times New Roman" w:eastAsia="Times New Roman" w:hAnsi="Times New Roman" w:cs="Times New Roman"/>
          <w:sz w:val="24"/>
          <w:szCs w:val="24"/>
          <w:lang w:eastAsia="tr-TR"/>
        </w:rPr>
        <w:t xml:space="preserve">işlem gördüğü en son gün </w:t>
      </w:r>
      <w:r w:rsidR="00C61FED">
        <w:rPr>
          <w:rFonts w:ascii="Times New Roman" w:eastAsia="Times New Roman" w:hAnsi="Times New Roman" w:cs="Times New Roman"/>
          <w:sz w:val="24"/>
          <w:szCs w:val="24"/>
          <w:lang w:eastAsia="tr-TR"/>
        </w:rPr>
        <w:t>Finansal Raporlama Tebliği öngörülen şekli ile oluş</w:t>
      </w:r>
      <w:r w:rsidR="00C61FED" w:rsidRPr="00C61FED">
        <w:rPr>
          <w:rFonts w:ascii="Times New Roman" w:eastAsia="Times New Roman" w:hAnsi="Times New Roman" w:cs="Times New Roman"/>
          <w:sz w:val="24"/>
          <w:szCs w:val="24"/>
          <w:lang w:eastAsia="tr-TR"/>
        </w:rPr>
        <w:t>a</w:t>
      </w:r>
      <w:r w:rsidR="00C61FED">
        <w:rPr>
          <w:rFonts w:ascii="Times New Roman" w:eastAsia="Times New Roman" w:hAnsi="Times New Roman" w:cs="Times New Roman"/>
          <w:sz w:val="24"/>
          <w:szCs w:val="24"/>
          <w:lang w:eastAsia="tr-TR"/>
        </w:rPr>
        <w:t>n</w:t>
      </w:r>
      <w:r w:rsidR="00BE24EC">
        <w:rPr>
          <w:rFonts w:ascii="Times New Roman" w:eastAsia="Times New Roman" w:hAnsi="Times New Roman" w:cs="Times New Roman"/>
          <w:sz w:val="24"/>
          <w:szCs w:val="24"/>
          <w:lang w:eastAsia="tr-TR"/>
        </w:rPr>
        <w:t xml:space="preserve"> </w:t>
      </w:r>
      <w:r w:rsidRPr="00092FEE">
        <w:rPr>
          <w:rFonts w:ascii="Times New Roman" w:eastAsia="Times New Roman" w:hAnsi="Times New Roman" w:cs="Times New Roman"/>
          <w:sz w:val="24"/>
          <w:szCs w:val="24"/>
          <w:lang w:eastAsia="tr-TR"/>
        </w:rPr>
        <w:t>fiyat</w:t>
      </w:r>
      <w:r w:rsidR="00C61FED">
        <w:rPr>
          <w:rFonts w:ascii="Times New Roman" w:eastAsia="Times New Roman" w:hAnsi="Times New Roman" w:cs="Times New Roman"/>
          <w:sz w:val="24"/>
          <w:szCs w:val="24"/>
          <w:lang w:eastAsia="tr-TR"/>
        </w:rPr>
        <w:t xml:space="preserve"> üzerinden değerlenmeye devam eder.</w:t>
      </w:r>
    </w:p>
    <w:p w:rsidR="0040384E" w:rsidRDefault="00091080" w:rsidP="0040384E">
      <w:pPr>
        <w:pStyle w:val="Heading2"/>
        <w:spacing w:after="240"/>
        <w:jc w:val="both"/>
        <w:rPr>
          <w:rFonts w:eastAsia="Times New Roman"/>
          <w:lang w:eastAsia="tr-TR"/>
        </w:rPr>
      </w:pPr>
      <w:bookmarkStart w:id="171" w:name="_Toc130312570"/>
      <w:bookmarkStart w:id="172" w:name="_Toc130312703"/>
      <w:r>
        <w:rPr>
          <w:rFonts w:eastAsia="Times New Roman"/>
          <w:lang w:eastAsia="tr-TR"/>
        </w:rPr>
        <w:t>5.1.2</w:t>
      </w:r>
      <w:r w:rsidR="0020711C" w:rsidRPr="0020711C">
        <w:rPr>
          <w:rFonts w:eastAsia="Times New Roman"/>
          <w:lang w:eastAsia="tr-TR"/>
        </w:rPr>
        <w:t xml:space="preserve">. </w:t>
      </w:r>
      <w:r w:rsidR="002B0592">
        <w:t>(Ek:15.02.2016 tarih ve 5/17</w:t>
      </w:r>
      <w:r w:rsidR="00132001">
        <w:t>2</w:t>
      </w:r>
      <w:r w:rsidR="002B0592">
        <w:t xml:space="preserve"> sayılı Kurul Kararı ile)</w:t>
      </w:r>
      <w:r w:rsidR="00C84F96">
        <w:t xml:space="preserve"> </w:t>
      </w:r>
      <w:r w:rsidR="0040384E">
        <w:t>(Değişiklik: 23.08.2017 tarih ve 32/1091</w:t>
      </w:r>
      <w:r w:rsidR="0040384E" w:rsidRPr="009168AA">
        <w:t xml:space="preserve"> sayılı Kurul Kararı ile)</w:t>
      </w:r>
      <w:r w:rsidR="0040384E">
        <w:t xml:space="preserve"> (Değişiklik: 29.09.2017 tarih ve 35/1201</w:t>
      </w:r>
      <w:r w:rsidR="0040384E" w:rsidRPr="009168AA">
        <w:t xml:space="preserve"> sayılı Kurul Kararı ile)</w:t>
      </w:r>
      <w:r w:rsidR="007F3B5B">
        <w:t xml:space="preserve"> (Değişiklik: 01.03.2018 tarih ve 9/316 sayılı Kurul Kararı ile)</w:t>
      </w:r>
      <w:r w:rsidR="0040384E">
        <w:t xml:space="preserve"> </w:t>
      </w:r>
      <w:r w:rsidR="0040384E" w:rsidRPr="00983E5F">
        <w:rPr>
          <w:bCs/>
        </w:rPr>
        <w:t>İhraççısı Temerrüde Düşen, Borsada İşlem Görmekten Men Edilen veya Yeniden Yapılandırılan Özel Sektör Borçlanma Araçlarına İlişkin Esaslar</w:t>
      </w:r>
      <w:bookmarkEnd w:id="171"/>
      <w:bookmarkEnd w:id="172"/>
      <w:r w:rsidR="0040384E" w:rsidRPr="00983E5F" w:rsidDel="00983E5F">
        <w:t xml:space="preserve"> </w:t>
      </w:r>
    </w:p>
    <w:p w:rsidR="0040384E" w:rsidRDefault="007F3B5B" w:rsidP="0040384E">
      <w:pPr>
        <w:spacing w:after="0"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i) </w:t>
      </w:r>
      <w:r w:rsidR="0040384E" w:rsidRPr="00D6042D">
        <w:rPr>
          <w:rFonts w:ascii="Times New Roman" w:hAnsi="Times New Roman"/>
          <w:color w:val="000000"/>
          <w:sz w:val="24"/>
          <w:szCs w:val="24"/>
        </w:rPr>
        <w:t>Fon portföyünde yer alan ve ihraççısı</w:t>
      </w:r>
      <w:r w:rsidR="0040384E">
        <w:rPr>
          <w:rFonts w:ascii="Times New Roman" w:hAnsi="Times New Roman"/>
          <w:color w:val="000000"/>
          <w:sz w:val="24"/>
          <w:szCs w:val="24"/>
        </w:rPr>
        <w:t xml:space="preserve"> t</w:t>
      </w:r>
      <w:r w:rsidR="0040384E" w:rsidRPr="00D6042D">
        <w:rPr>
          <w:rFonts w:ascii="Times New Roman" w:hAnsi="Times New Roman"/>
          <w:color w:val="000000"/>
          <w:sz w:val="24"/>
          <w:szCs w:val="24"/>
        </w:rPr>
        <w:t xml:space="preserve">emerrüde düşen veya Borsa kotundan çıkarılan borçlanma araçları ile ilgili olarak, karşılık ayrılıp ayrılmaması, karşılık ayrılmasına karar verilmesi halinde zamanı ve oranı ile konuya ilişkin olarak KAP’ta açıklama yapılıp yapılmayacağı hususları Kurucu tarafından; ihraççı şirketin mali durumu ve nihai olarak ödeme kabiliyeti, </w:t>
      </w:r>
      <w:r w:rsidR="0040384E">
        <w:rPr>
          <w:rFonts w:ascii="Times New Roman" w:hAnsi="Times New Roman"/>
          <w:color w:val="000000"/>
          <w:sz w:val="24"/>
          <w:szCs w:val="24"/>
        </w:rPr>
        <w:t>söz konusu</w:t>
      </w:r>
      <w:r w:rsidR="0040384E" w:rsidRPr="00D6042D">
        <w:rPr>
          <w:rFonts w:ascii="Times New Roman" w:hAnsi="Times New Roman"/>
          <w:color w:val="000000"/>
          <w:sz w:val="24"/>
          <w:szCs w:val="24"/>
        </w:rPr>
        <w:t xml:space="preserve"> borçlanma aracının fon portföyünde sahip olduğu pay, fon fiyatının etkilenme düzeyi gibi hususlar ile Türkiye Muhasebe Standartları dikkate alınarak değerlendirilir ve değerlendirme sonucu yönetim kurulu kararına bağlanır.</w:t>
      </w:r>
    </w:p>
    <w:p w:rsidR="0040384E" w:rsidRPr="00D6042D" w:rsidRDefault="0040384E" w:rsidP="0040384E">
      <w:pPr>
        <w:spacing w:after="0" w:line="276" w:lineRule="auto"/>
        <w:ind w:firstLine="708"/>
        <w:jc w:val="both"/>
        <w:rPr>
          <w:rFonts w:ascii="Times New Roman" w:hAnsi="Times New Roman"/>
          <w:sz w:val="24"/>
          <w:szCs w:val="24"/>
        </w:rPr>
      </w:pPr>
    </w:p>
    <w:p w:rsidR="0040384E" w:rsidRDefault="0040384E" w:rsidP="0040384E">
      <w:pPr>
        <w:widowControl w:val="0"/>
        <w:tabs>
          <w:tab w:val="left" w:pos="993"/>
        </w:tabs>
        <w:spacing w:line="276" w:lineRule="auto"/>
        <w:ind w:firstLine="709"/>
        <w:jc w:val="both"/>
        <w:rPr>
          <w:rFonts w:ascii="Times New Roman" w:hAnsi="Times New Roman"/>
          <w:color w:val="000000"/>
          <w:sz w:val="24"/>
          <w:szCs w:val="24"/>
        </w:rPr>
      </w:pPr>
      <w:r w:rsidRPr="00983E5F">
        <w:rPr>
          <w:rFonts w:ascii="Times New Roman" w:hAnsi="Times New Roman"/>
          <w:color w:val="000000"/>
          <w:sz w:val="24"/>
          <w:szCs w:val="24"/>
        </w:rPr>
        <w:t>Fon portföyünde yer alan ve yeniden yapılandırılan borçlanma araçları ile ilgili olarak da yukarıdaki esaslar uygulanır. Öte yandan, söz konusu borçlanma araçlarının borsada işleme konu edilmesi durumunda da, Kurucu tarafından söz konusu aracın işlem gördüğü piyasada etkin bir fiyatın oluşmadığının değerlendirilmesi halinde, değerlemede ilgili düzenlemelerde belirtilen borsada oluşan en son seans ağırlıklı ortalama fiyat yerine yukarıda belirtilen esaslar uygulanabilir.</w:t>
      </w:r>
    </w:p>
    <w:p w:rsidR="007F3B5B" w:rsidRPr="00F354FA" w:rsidRDefault="007F3B5B" w:rsidP="0040384E">
      <w:pPr>
        <w:widowControl w:val="0"/>
        <w:tabs>
          <w:tab w:val="left" w:pos="993"/>
        </w:tabs>
        <w:spacing w:line="276"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ii) </w:t>
      </w:r>
      <w:r w:rsidR="005F5E0A" w:rsidRPr="005F5E0A">
        <w:rPr>
          <w:rFonts w:ascii="Times New Roman" w:eastAsiaTheme="majorEastAsia" w:hAnsi="Times New Roman" w:cstheme="majorBidi"/>
          <w:b/>
          <w:sz w:val="24"/>
          <w:szCs w:val="26"/>
        </w:rPr>
        <w:t>(Ek bent: 01.03.2018 tarih ve 9/316 sayılı Kurul Kararı ile)</w:t>
      </w:r>
      <w:r w:rsidR="005F5E0A">
        <w:rPr>
          <w:rFonts w:ascii="Times New Roman" w:eastAsiaTheme="majorEastAsia" w:hAnsi="Times New Roman" w:cstheme="majorBidi"/>
          <w:b/>
          <w:sz w:val="24"/>
          <w:szCs w:val="26"/>
        </w:rPr>
        <w:t xml:space="preserve"> </w:t>
      </w:r>
      <w:r w:rsidRPr="007F3B5B">
        <w:rPr>
          <w:rFonts w:ascii="Times New Roman" w:hAnsi="Times New Roman"/>
          <w:color w:val="000000"/>
          <w:sz w:val="24"/>
          <w:szCs w:val="24"/>
        </w:rPr>
        <w:t>Bu madde kapsamına giren borçlanma araçlarının ihraççısının temerrüdünden veya yeniden yapılandırılmasından kaynaklanan her tür harcama Kurucu tarafından karşılanır.</w:t>
      </w:r>
    </w:p>
    <w:p w:rsidR="00FA4BA5" w:rsidRDefault="0040384E" w:rsidP="0040384E">
      <w:pPr>
        <w:pStyle w:val="Heading3"/>
        <w:jc w:val="both"/>
        <w:rPr>
          <w:rFonts w:eastAsia="Times New Roman" w:cs="Times New Roman"/>
          <w:lang w:eastAsia="tr-TR"/>
        </w:rPr>
      </w:pPr>
      <w:r w:rsidRPr="009168AA" w:rsidDel="0040384E">
        <w:t xml:space="preserve"> </w:t>
      </w:r>
    </w:p>
    <w:p w:rsidR="000D35A3" w:rsidRDefault="000D35A3" w:rsidP="00FA4BA5">
      <w:pPr>
        <w:pStyle w:val="Heading2"/>
        <w:spacing w:before="0"/>
        <w:jc w:val="both"/>
        <w:rPr>
          <w:rFonts w:eastAsia="Times New Roman"/>
          <w:lang w:eastAsia="tr-TR"/>
        </w:rPr>
      </w:pPr>
      <w:bookmarkStart w:id="173" w:name="_Toc130312571"/>
      <w:bookmarkStart w:id="174" w:name="_Toc130312704"/>
      <w:r w:rsidRPr="000D35A3">
        <w:rPr>
          <w:rFonts w:eastAsia="Times New Roman"/>
          <w:lang w:eastAsia="tr-TR"/>
        </w:rPr>
        <w:t>5.2. Borsa Dışında Taraf Olunan Türev Araç ve Swap Sözleşmelerine İlişkin Değerleme Esasları</w:t>
      </w:r>
      <w:bookmarkEnd w:id="173"/>
      <w:bookmarkEnd w:id="174"/>
    </w:p>
    <w:p w:rsidR="00FA4BA5" w:rsidRPr="00FA4BA5" w:rsidRDefault="00FA4BA5" w:rsidP="00FA4BA5">
      <w:pPr>
        <w:rPr>
          <w:lang w:eastAsia="tr-TR"/>
        </w:rPr>
      </w:pPr>
    </w:p>
    <w:p w:rsidR="000D35A3" w:rsidRPr="00F65340" w:rsidRDefault="000D35A3" w:rsidP="00FA4BA5">
      <w:pPr>
        <w:spacing w:after="0"/>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Bu Rehber’in </w:t>
      </w:r>
      <w:r w:rsidR="002E66BB">
        <w:rPr>
          <w:rFonts w:ascii="Times New Roman" w:eastAsia="Times New Roman" w:hAnsi="Times New Roman" w:cs="Times New Roman"/>
          <w:sz w:val="24"/>
          <w:szCs w:val="24"/>
          <w:lang w:eastAsia="tr-TR"/>
        </w:rPr>
        <w:t xml:space="preserve">(4.2.7) nolu bölümünün </w:t>
      </w:r>
      <w:r w:rsidR="002E66BB" w:rsidRPr="007814BB">
        <w:rPr>
          <w:rFonts w:ascii="Times New Roman" w:eastAsia="Times New Roman" w:hAnsi="Times New Roman" w:cs="Times New Roman"/>
          <w:sz w:val="24"/>
          <w:szCs w:val="24"/>
          <w:lang w:eastAsia="tr-TR"/>
        </w:rPr>
        <w:t>(</w:t>
      </w:r>
      <w:r w:rsidR="000E725C" w:rsidRPr="007814BB">
        <w:rPr>
          <w:rFonts w:ascii="Times New Roman" w:eastAsia="Times New Roman" w:hAnsi="Times New Roman" w:cs="Times New Roman"/>
          <w:sz w:val="24"/>
          <w:szCs w:val="24"/>
          <w:lang w:eastAsia="tr-TR"/>
        </w:rPr>
        <w:t>b</w:t>
      </w:r>
      <w:r w:rsidRPr="007814BB">
        <w:rPr>
          <w:rFonts w:ascii="Times New Roman" w:eastAsia="Times New Roman" w:hAnsi="Times New Roman" w:cs="Times New Roman"/>
          <w:sz w:val="24"/>
          <w:szCs w:val="24"/>
          <w:lang w:eastAsia="tr-TR"/>
        </w:rPr>
        <w:t>/</w:t>
      </w:r>
      <w:r w:rsidR="00FF0603" w:rsidRPr="007814BB">
        <w:rPr>
          <w:rFonts w:ascii="Times New Roman" w:eastAsia="Times New Roman" w:hAnsi="Times New Roman" w:cs="Times New Roman"/>
          <w:sz w:val="24"/>
          <w:szCs w:val="24"/>
          <w:lang w:eastAsia="tr-TR"/>
        </w:rPr>
        <w:t>iii</w:t>
      </w:r>
      <w:r w:rsidR="002E66BB" w:rsidRPr="007814BB">
        <w:rPr>
          <w:rFonts w:ascii="Times New Roman" w:eastAsia="Times New Roman" w:hAnsi="Times New Roman" w:cs="Times New Roman"/>
          <w:sz w:val="24"/>
          <w:szCs w:val="24"/>
          <w:lang w:eastAsia="tr-TR"/>
        </w:rPr>
        <w:t>)</w:t>
      </w:r>
      <w:r w:rsidRPr="00F65340">
        <w:rPr>
          <w:rFonts w:ascii="Times New Roman" w:eastAsia="Times New Roman" w:hAnsi="Times New Roman" w:cs="Times New Roman"/>
          <w:sz w:val="24"/>
          <w:szCs w:val="24"/>
          <w:lang w:eastAsia="tr-TR"/>
        </w:rPr>
        <w:t xml:space="preserve"> bendi çerçevesinde türev araç ve swap sözleşmesi fon portföyüne dahil edilmeden önce</w:t>
      </w:r>
      <w:r>
        <w:rPr>
          <w:rFonts w:ascii="Times New Roman" w:eastAsia="Times New Roman" w:hAnsi="Times New Roman" w:cs="Times New Roman"/>
          <w:sz w:val="24"/>
          <w:szCs w:val="24"/>
          <w:lang w:eastAsia="tr-TR"/>
        </w:rPr>
        <w:t>:</w:t>
      </w:r>
    </w:p>
    <w:p w:rsidR="000D35A3" w:rsidRPr="0072733A" w:rsidRDefault="00C61FED" w:rsidP="0006161B">
      <w:pPr>
        <w:pStyle w:val="ListParagraph"/>
        <w:numPr>
          <w:ilvl w:val="3"/>
          <w:numId w:val="34"/>
        </w:numPr>
        <w:tabs>
          <w:tab w:val="clear" w:pos="2880"/>
        </w:tabs>
        <w:ind w:left="993" w:hanging="284"/>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w:t>
      </w:r>
      <w:r w:rsidR="000D35A3" w:rsidRPr="0072733A">
        <w:rPr>
          <w:rFonts w:ascii="Times New Roman" w:eastAsia="Times New Roman" w:hAnsi="Times New Roman" w:cs="Times New Roman"/>
          <w:sz w:val="24"/>
          <w:szCs w:val="24"/>
          <w:lang w:eastAsia="tr-TR"/>
        </w:rPr>
        <w:t xml:space="preserve">urucunun kontrol edebileceği şekilde yapılması kaydıyla, işlemin karşı tarafından bağımsız bir üçüncü tarafça ya da, </w:t>
      </w:r>
    </w:p>
    <w:p w:rsidR="000D35A3" w:rsidRPr="0072733A" w:rsidRDefault="00C61FED" w:rsidP="0006161B">
      <w:pPr>
        <w:pStyle w:val="ListParagraph"/>
        <w:numPr>
          <w:ilvl w:val="3"/>
          <w:numId w:val="34"/>
        </w:numPr>
        <w:tabs>
          <w:tab w:val="clear" w:pos="2880"/>
        </w:tabs>
        <w:ind w:left="993" w:hanging="284"/>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w:t>
      </w:r>
      <w:r w:rsidR="000D35A3" w:rsidRPr="0072733A">
        <w:rPr>
          <w:rFonts w:ascii="Times New Roman" w:eastAsia="Times New Roman" w:hAnsi="Times New Roman" w:cs="Times New Roman"/>
          <w:sz w:val="24"/>
          <w:szCs w:val="24"/>
          <w:lang w:eastAsia="tr-TR"/>
        </w:rPr>
        <w:t>onun portföy yönetiminden sorumlu birimi</w:t>
      </w:r>
      <w:r w:rsidR="000D35A3">
        <w:rPr>
          <w:rFonts w:ascii="Times New Roman" w:eastAsia="Times New Roman" w:hAnsi="Times New Roman" w:cs="Times New Roman"/>
          <w:sz w:val="24"/>
          <w:szCs w:val="24"/>
          <w:lang w:eastAsia="tr-TR"/>
        </w:rPr>
        <w:t xml:space="preserve"> hariç olmak üzere,</w:t>
      </w:r>
      <w:r w:rsidR="000D35A3" w:rsidRPr="0072733A">
        <w:rPr>
          <w:rFonts w:ascii="Times New Roman" w:eastAsia="Times New Roman" w:hAnsi="Times New Roman" w:cs="Times New Roman"/>
          <w:sz w:val="24"/>
          <w:szCs w:val="24"/>
          <w:lang w:eastAsia="tr-TR"/>
        </w:rPr>
        <w:t xml:space="preserve"> bu fonksiyonu yerine getirebilmek için yeterli bilgi ve donanıma sahip olması kaydıyla </w:t>
      </w:r>
      <w:r w:rsidR="000D35A3">
        <w:rPr>
          <w:rFonts w:ascii="Times New Roman" w:eastAsia="Times New Roman" w:hAnsi="Times New Roman" w:cs="Times New Roman"/>
          <w:sz w:val="24"/>
          <w:szCs w:val="24"/>
          <w:lang w:eastAsia="tr-TR"/>
        </w:rPr>
        <w:t>K</w:t>
      </w:r>
      <w:r w:rsidR="000D35A3" w:rsidRPr="0072733A">
        <w:rPr>
          <w:rFonts w:ascii="Times New Roman" w:eastAsia="Times New Roman" w:hAnsi="Times New Roman" w:cs="Times New Roman"/>
          <w:sz w:val="24"/>
          <w:szCs w:val="24"/>
          <w:lang w:eastAsia="tr-TR"/>
        </w:rPr>
        <w:t>urucu</w:t>
      </w:r>
      <w:r w:rsidR="000D35A3">
        <w:rPr>
          <w:rFonts w:ascii="Times New Roman" w:eastAsia="Times New Roman" w:hAnsi="Times New Roman" w:cs="Times New Roman"/>
          <w:sz w:val="24"/>
          <w:szCs w:val="24"/>
          <w:lang w:eastAsia="tr-TR"/>
        </w:rPr>
        <w:t xml:space="preserve"> ya da</w:t>
      </w:r>
      <w:r w:rsidR="0057139F">
        <w:rPr>
          <w:rFonts w:ascii="Times New Roman" w:eastAsia="Times New Roman" w:hAnsi="Times New Roman" w:cs="Times New Roman"/>
          <w:sz w:val="24"/>
          <w:szCs w:val="24"/>
          <w:lang w:eastAsia="tr-TR"/>
        </w:rPr>
        <w:t xml:space="preserve"> </w:t>
      </w:r>
      <w:r w:rsidR="000D35A3">
        <w:rPr>
          <w:rFonts w:ascii="Times New Roman" w:eastAsia="Times New Roman" w:hAnsi="Times New Roman" w:cs="Times New Roman"/>
          <w:sz w:val="24"/>
          <w:szCs w:val="24"/>
          <w:lang w:eastAsia="tr-TR"/>
        </w:rPr>
        <w:t>Y</w:t>
      </w:r>
      <w:r w:rsidR="000D35A3" w:rsidRPr="0072733A">
        <w:rPr>
          <w:rFonts w:ascii="Times New Roman" w:eastAsia="Times New Roman" w:hAnsi="Times New Roman" w:cs="Times New Roman"/>
          <w:sz w:val="24"/>
          <w:szCs w:val="24"/>
          <w:lang w:eastAsia="tr-TR"/>
        </w:rPr>
        <w:t xml:space="preserve">önetici nezdinde bir birim tarafından </w:t>
      </w:r>
    </w:p>
    <w:p w:rsidR="000D35A3" w:rsidRDefault="000D35A3" w:rsidP="000D35A3">
      <w:pPr>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w:t>
      </w:r>
      <w:r w:rsidRPr="0072733A">
        <w:rPr>
          <w:rFonts w:ascii="Times New Roman" w:eastAsia="Times New Roman" w:hAnsi="Times New Roman" w:cs="Times New Roman"/>
          <w:sz w:val="24"/>
          <w:szCs w:val="24"/>
          <w:lang w:eastAsia="tr-TR"/>
        </w:rPr>
        <w:t xml:space="preserve">öz konusu </w:t>
      </w:r>
      <w:r w:rsidR="004F0615">
        <w:rPr>
          <w:rFonts w:ascii="Times New Roman" w:eastAsia="Times New Roman" w:hAnsi="Times New Roman" w:cs="Times New Roman"/>
          <w:sz w:val="24"/>
          <w:szCs w:val="24"/>
          <w:lang w:eastAsia="tr-TR"/>
        </w:rPr>
        <w:t>varlıkların</w:t>
      </w:r>
      <w:r w:rsidR="00AC7EF8">
        <w:rPr>
          <w:rFonts w:ascii="Times New Roman" w:eastAsia="Times New Roman" w:hAnsi="Times New Roman" w:cs="Times New Roman"/>
          <w:sz w:val="24"/>
          <w:szCs w:val="24"/>
          <w:lang w:eastAsia="tr-TR"/>
        </w:rPr>
        <w:t xml:space="preserve"> </w:t>
      </w:r>
      <w:r w:rsidRPr="0072733A">
        <w:rPr>
          <w:rFonts w:ascii="Times New Roman" w:eastAsia="Times New Roman" w:hAnsi="Times New Roman" w:cs="Times New Roman"/>
          <w:sz w:val="24"/>
          <w:szCs w:val="24"/>
          <w:lang w:eastAsia="tr-TR"/>
        </w:rPr>
        <w:t>“adil bir fiyat” içer</w:t>
      </w:r>
      <w:r w:rsidR="001D649F">
        <w:rPr>
          <w:rFonts w:ascii="Times New Roman" w:eastAsia="Times New Roman" w:hAnsi="Times New Roman" w:cs="Times New Roman"/>
          <w:sz w:val="24"/>
          <w:szCs w:val="24"/>
          <w:lang w:eastAsia="tr-TR"/>
        </w:rPr>
        <w:t>ip içerme</w:t>
      </w:r>
      <w:r w:rsidRPr="0072733A">
        <w:rPr>
          <w:rFonts w:ascii="Times New Roman" w:eastAsia="Times New Roman" w:hAnsi="Times New Roman" w:cs="Times New Roman"/>
          <w:sz w:val="24"/>
          <w:szCs w:val="24"/>
          <w:lang w:eastAsia="tr-TR"/>
        </w:rPr>
        <w:t>diğ</w:t>
      </w:r>
      <w:r>
        <w:rPr>
          <w:rFonts w:ascii="Times New Roman" w:eastAsia="Times New Roman" w:hAnsi="Times New Roman" w:cs="Times New Roman"/>
          <w:sz w:val="24"/>
          <w:szCs w:val="24"/>
          <w:lang w:eastAsia="tr-TR"/>
        </w:rPr>
        <w:t>i</w:t>
      </w:r>
      <w:r w:rsidRPr="0072733A">
        <w:rPr>
          <w:rFonts w:ascii="Times New Roman" w:eastAsia="Times New Roman" w:hAnsi="Times New Roman" w:cs="Times New Roman"/>
          <w:sz w:val="24"/>
          <w:szCs w:val="24"/>
          <w:lang w:eastAsia="tr-TR"/>
        </w:rPr>
        <w:t xml:space="preserve"> yeterli ve genel kabul görmüş bir </w:t>
      </w:r>
      <w:r>
        <w:rPr>
          <w:rFonts w:ascii="Times New Roman" w:eastAsia="Times New Roman" w:hAnsi="Times New Roman" w:cs="Times New Roman"/>
          <w:sz w:val="24"/>
          <w:szCs w:val="24"/>
          <w:lang w:eastAsia="tr-TR"/>
        </w:rPr>
        <w:t xml:space="preserve">fiyatlama modeli </w:t>
      </w:r>
      <w:r w:rsidRPr="0072733A">
        <w:rPr>
          <w:rFonts w:ascii="Times New Roman" w:eastAsia="Times New Roman" w:hAnsi="Times New Roman" w:cs="Times New Roman"/>
          <w:sz w:val="24"/>
          <w:szCs w:val="24"/>
          <w:lang w:eastAsia="tr-TR"/>
        </w:rPr>
        <w:t>kullanılarak</w:t>
      </w:r>
      <w:r w:rsidR="002929F2">
        <w:rPr>
          <w:rFonts w:ascii="Times New Roman" w:eastAsia="Times New Roman" w:hAnsi="Times New Roman" w:cs="Times New Roman"/>
          <w:sz w:val="24"/>
          <w:szCs w:val="24"/>
          <w:lang w:eastAsia="tr-TR"/>
        </w:rPr>
        <w:t xml:space="preserve"> </w:t>
      </w:r>
      <w:r w:rsidR="001D649F">
        <w:rPr>
          <w:rFonts w:ascii="Times New Roman" w:eastAsia="Times New Roman" w:hAnsi="Times New Roman" w:cs="Times New Roman"/>
          <w:sz w:val="24"/>
          <w:szCs w:val="24"/>
          <w:lang w:eastAsia="tr-TR"/>
        </w:rPr>
        <w:t>değerlendirilir</w:t>
      </w:r>
      <w:r w:rsidR="00C61FED">
        <w:rPr>
          <w:rFonts w:ascii="Times New Roman" w:eastAsia="Times New Roman" w:hAnsi="Times New Roman" w:cs="Times New Roman"/>
          <w:sz w:val="24"/>
          <w:szCs w:val="24"/>
          <w:lang w:eastAsia="tr-TR"/>
        </w:rPr>
        <w:t>.</w:t>
      </w:r>
    </w:p>
    <w:p w:rsidR="000D35A3" w:rsidRDefault="00A8543D" w:rsidP="000D35A3">
      <w:pPr>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Bu Rehber’in </w:t>
      </w:r>
      <w:r w:rsidR="002E66BB">
        <w:rPr>
          <w:rFonts w:ascii="Times New Roman" w:eastAsia="Times New Roman" w:hAnsi="Times New Roman" w:cs="Times New Roman"/>
          <w:sz w:val="24"/>
          <w:szCs w:val="24"/>
          <w:lang w:eastAsia="tr-TR"/>
        </w:rPr>
        <w:t xml:space="preserve">(4.2.7) nolu bölümünün </w:t>
      </w:r>
      <w:r w:rsidR="002E66BB" w:rsidRPr="007814BB">
        <w:rPr>
          <w:rFonts w:ascii="Times New Roman" w:eastAsia="Times New Roman" w:hAnsi="Times New Roman" w:cs="Times New Roman"/>
          <w:sz w:val="24"/>
          <w:szCs w:val="24"/>
          <w:lang w:eastAsia="tr-TR"/>
        </w:rPr>
        <w:t>(</w:t>
      </w:r>
      <w:r w:rsidR="000E725C" w:rsidRPr="007814BB">
        <w:rPr>
          <w:rFonts w:ascii="Times New Roman" w:eastAsia="Times New Roman" w:hAnsi="Times New Roman" w:cs="Times New Roman"/>
          <w:sz w:val="24"/>
          <w:szCs w:val="24"/>
          <w:lang w:eastAsia="tr-TR"/>
        </w:rPr>
        <w:t>b</w:t>
      </w:r>
      <w:r w:rsidR="002E66BB" w:rsidRPr="007814BB">
        <w:rPr>
          <w:rFonts w:ascii="Times New Roman" w:eastAsia="Times New Roman" w:hAnsi="Times New Roman" w:cs="Times New Roman"/>
          <w:sz w:val="24"/>
          <w:szCs w:val="24"/>
          <w:lang w:eastAsia="tr-TR"/>
        </w:rPr>
        <w:t>/</w:t>
      </w:r>
      <w:r w:rsidR="00FF0603" w:rsidRPr="007814BB">
        <w:rPr>
          <w:rFonts w:ascii="Times New Roman" w:eastAsia="Times New Roman" w:hAnsi="Times New Roman" w:cs="Times New Roman"/>
          <w:sz w:val="24"/>
          <w:szCs w:val="24"/>
          <w:lang w:eastAsia="tr-TR"/>
        </w:rPr>
        <w:t>i</w:t>
      </w:r>
      <w:r w:rsidR="002E66BB" w:rsidRPr="007814BB">
        <w:rPr>
          <w:rFonts w:ascii="Times New Roman" w:eastAsia="Times New Roman" w:hAnsi="Times New Roman" w:cs="Times New Roman"/>
          <w:sz w:val="24"/>
          <w:szCs w:val="24"/>
          <w:lang w:eastAsia="tr-TR"/>
        </w:rPr>
        <w:t>v)</w:t>
      </w:r>
      <w:r w:rsidR="00BE24EC">
        <w:rPr>
          <w:rFonts w:ascii="Times New Roman" w:eastAsia="Times New Roman" w:hAnsi="Times New Roman" w:cs="Times New Roman"/>
          <w:sz w:val="24"/>
          <w:szCs w:val="24"/>
          <w:lang w:eastAsia="tr-TR"/>
        </w:rPr>
        <w:t xml:space="preserve"> </w:t>
      </w:r>
      <w:r w:rsidRPr="00F65340">
        <w:rPr>
          <w:rFonts w:ascii="Times New Roman" w:eastAsia="Times New Roman" w:hAnsi="Times New Roman" w:cs="Times New Roman"/>
          <w:sz w:val="24"/>
          <w:szCs w:val="24"/>
          <w:lang w:eastAsia="tr-TR"/>
        </w:rPr>
        <w:t xml:space="preserve">bendi </w:t>
      </w:r>
      <w:r w:rsidR="000D35A3" w:rsidRPr="0072733A">
        <w:rPr>
          <w:rFonts w:ascii="Times New Roman" w:eastAsia="Times New Roman" w:hAnsi="Times New Roman" w:cs="Times New Roman"/>
          <w:sz w:val="24"/>
          <w:szCs w:val="24"/>
          <w:lang w:eastAsia="tr-TR"/>
        </w:rPr>
        <w:t>çerçevesinde</w:t>
      </w:r>
      <w:r w:rsidR="000D35A3" w:rsidRPr="006565BE">
        <w:rPr>
          <w:rFonts w:ascii="Times New Roman" w:eastAsia="Times New Roman" w:hAnsi="Times New Roman" w:cs="Times New Roman"/>
          <w:sz w:val="24"/>
          <w:szCs w:val="24"/>
          <w:lang w:eastAsia="tr-TR"/>
        </w:rPr>
        <w:t xml:space="preserve">, varsa, türev araç ve swap sözleşmesinin güncel piyasa fiyatının değerlemede esas alınması, güncel piyasa fiyatının bulunmadığı durumlarda ise söz konusu </w:t>
      </w:r>
      <w:r w:rsidR="004F0615">
        <w:rPr>
          <w:rFonts w:ascii="Times New Roman" w:eastAsia="Times New Roman" w:hAnsi="Times New Roman" w:cs="Times New Roman"/>
          <w:sz w:val="24"/>
          <w:szCs w:val="24"/>
          <w:lang w:eastAsia="tr-TR"/>
        </w:rPr>
        <w:t>varlıkların</w:t>
      </w:r>
      <w:r w:rsidR="003311D9">
        <w:rPr>
          <w:rFonts w:ascii="Times New Roman" w:eastAsia="Times New Roman" w:hAnsi="Times New Roman" w:cs="Times New Roman"/>
          <w:sz w:val="24"/>
          <w:szCs w:val="24"/>
          <w:lang w:eastAsia="tr-TR"/>
        </w:rPr>
        <w:t xml:space="preserve"> </w:t>
      </w:r>
      <w:r w:rsidR="000D35A3" w:rsidRPr="006565BE">
        <w:rPr>
          <w:rFonts w:ascii="Times New Roman" w:eastAsia="Times New Roman" w:hAnsi="Times New Roman" w:cs="Times New Roman"/>
          <w:sz w:val="24"/>
          <w:szCs w:val="24"/>
          <w:lang w:eastAsia="tr-TR"/>
        </w:rPr>
        <w:t>Kurucu/Yönetici tarafından yeterli ve genel kabul görmüş bir</w:t>
      </w:r>
      <w:r w:rsidR="000D35A3" w:rsidRPr="0072733A">
        <w:rPr>
          <w:rFonts w:ascii="Times New Roman" w:eastAsia="Times New Roman" w:hAnsi="Times New Roman" w:cs="Times New Roman"/>
          <w:sz w:val="24"/>
          <w:szCs w:val="24"/>
          <w:lang w:eastAsia="tr-TR"/>
        </w:rPr>
        <w:t xml:space="preserve"> fiyatlama modeli </w:t>
      </w:r>
      <w:r w:rsidR="000D35A3">
        <w:rPr>
          <w:rFonts w:ascii="Times New Roman" w:eastAsia="Times New Roman" w:hAnsi="Times New Roman" w:cs="Times New Roman"/>
          <w:sz w:val="24"/>
          <w:szCs w:val="24"/>
          <w:lang w:eastAsia="tr-TR"/>
        </w:rPr>
        <w:t xml:space="preserve">kullanılarak </w:t>
      </w:r>
      <w:r w:rsidR="000D35A3" w:rsidRPr="0072733A">
        <w:rPr>
          <w:rFonts w:ascii="Times New Roman" w:eastAsia="Times New Roman" w:hAnsi="Times New Roman" w:cs="Times New Roman"/>
          <w:sz w:val="24"/>
          <w:szCs w:val="24"/>
          <w:lang w:eastAsia="tr-TR"/>
        </w:rPr>
        <w:t>değerlen</w:t>
      </w:r>
      <w:r w:rsidR="000D35A3">
        <w:rPr>
          <w:rFonts w:ascii="Times New Roman" w:eastAsia="Times New Roman" w:hAnsi="Times New Roman" w:cs="Times New Roman"/>
          <w:sz w:val="24"/>
          <w:szCs w:val="24"/>
          <w:lang w:eastAsia="tr-TR"/>
        </w:rPr>
        <w:t>mesi esastır</w:t>
      </w:r>
      <w:r w:rsidR="000D35A3" w:rsidRPr="0072733A">
        <w:rPr>
          <w:rFonts w:ascii="Times New Roman" w:eastAsia="Times New Roman" w:hAnsi="Times New Roman" w:cs="Times New Roman"/>
          <w:sz w:val="24"/>
          <w:szCs w:val="24"/>
          <w:lang w:eastAsia="tr-TR"/>
        </w:rPr>
        <w:t xml:space="preserve">. Bununla birlikte, fonun fiyat açıklama dönemlerinde </w:t>
      </w:r>
      <w:r w:rsidR="000D35A3">
        <w:rPr>
          <w:rFonts w:ascii="Times New Roman" w:eastAsia="Times New Roman" w:hAnsi="Times New Roman" w:cs="Times New Roman"/>
          <w:sz w:val="24"/>
          <w:szCs w:val="24"/>
          <w:lang w:eastAsia="tr-TR"/>
        </w:rPr>
        <w:t xml:space="preserve">değerlemede kullanılmak üzere </w:t>
      </w:r>
      <w:r w:rsidR="000D35A3" w:rsidRPr="0072733A">
        <w:rPr>
          <w:rFonts w:ascii="Times New Roman" w:eastAsia="Times New Roman" w:hAnsi="Times New Roman" w:cs="Times New Roman"/>
          <w:sz w:val="24"/>
          <w:szCs w:val="24"/>
          <w:lang w:eastAsia="tr-TR"/>
        </w:rPr>
        <w:t xml:space="preserve">karşı taraftan fiyat kotasyonu alındığı durumlarda söz konusu fiyat değerlemede kullanılmadan önce </w:t>
      </w:r>
      <w:r w:rsidR="000D35A3">
        <w:rPr>
          <w:rFonts w:ascii="Times New Roman" w:eastAsia="Times New Roman" w:hAnsi="Times New Roman" w:cs="Times New Roman"/>
          <w:sz w:val="24"/>
          <w:szCs w:val="24"/>
          <w:lang w:eastAsia="tr-TR"/>
        </w:rPr>
        <w:t>fiyatın uygunluğu</w:t>
      </w:r>
      <w:r w:rsidR="003311D9">
        <w:rPr>
          <w:rFonts w:ascii="Times New Roman" w:eastAsia="Times New Roman" w:hAnsi="Times New Roman" w:cs="Times New Roman"/>
          <w:sz w:val="24"/>
          <w:szCs w:val="24"/>
          <w:lang w:eastAsia="tr-TR"/>
        </w:rPr>
        <w:t xml:space="preserve"> </w:t>
      </w:r>
      <w:r w:rsidR="000D35A3" w:rsidRPr="0072733A">
        <w:rPr>
          <w:rFonts w:ascii="Times New Roman" w:eastAsia="Times New Roman" w:hAnsi="Times New Roman" w:cs="Times New Roman"/>
          <w:sz w:val="24"/>
          <w:szCs w:val="24"/>
          <w:lang w:eastAsia="tr-TR"/>
        </w:rPr>
        <w:t xml:space="preserve">yeterli ve genel kabul görmüş bir fiyatlama modeli </w:t>
      </w:r>
      <w:r w:rsidR="000D35A3">
        <w:rPr>
          <w:rFonts w:ascii="Times New Roman" w:eastAsia="Times New Roman" w:hAnsi="Times New Roman" w:cs="Times New Roman"/>
          <w:sz w:val="24"/>
          <w:szCs w:val="24"/>
          <w:lang w:eastAsia="tr-TR"/>
        </w:rPr>
        <w:t xml:space="preserve">aracılığıyla ve </w:t>
      </w:r>
      <w:r w:rsidR="000D35A3" w:rsidRPr="0072733A">
        <w:rPr>
          <w:rFonts w:ascii="Times New Roman" w:eastAsia="Times New Roman" w:hAnsi="Times New Roman" w:cs="Times New Roman"/>
          <w:sz w:val="24"/>
          <w:szCs w:val="24"/>
          <w:lang w:eastAsia="tr-TR"/>
        </w:rPr>
        <w:t>Kurucu/Yönetici</w:t>
      </w:r>
      <w:r w:rsidR="000D35A3">
        <w:rPr>
          <w:rFonts w:ascii="Times New Roman" w:eastAsia="Times New Roman" w:hAnsi="Times New Roman" w:cs="Times New Roman"/>
          <w:sz w:val="24"/>
          <w:szCs w:val="24"/>
          <w:lang w:eastAsia="tr-TR"/>
        </w:rPr>
        <w:t xml:space="preserve"> tarafından belirlenebilecek diğer</w:t>
      </w:r>
      <w:r w:rsidR="003311D9">
        <w:rPr>
          <w:rFonts w:ascii="Times New Roman" w:eastAsia="Times New Roman" w:hAnsi="Times New Roman" w:cs="Times New Roman"/>
          <w:sz w:val="24"/>
          <w:szCs w:val="24"/>
          <w:lang w:eastAsia="tr-TR"/>
        </w:rPr>
        <w:t xml:space="preserve"> </w:t>
      </w:r>
      <w:r w:rsidR="000D35A3" w:rsidRPr="0072733A">
        <w:rPr>
          <w:rFonts w:ascii="Times New Roman" w:eastAsia="Times New Roman" w:hAnsi="Times New Roman" w:cs="Times New Roman"/>
          <w:sz w:val="24"/>
          <w:szCs w:val="24"/>
          <w:lang w:eastAsia="tr-TR"/>
        </w:rPr>
        <w:t xml:space="preserve">prosedürler çerçevesinde </w:t>
      </w:r>
      <w:r w:rsidR="000D35A3">
        <w:rPr>
          <w:rFonts w:ascii="Times New Roman" w:eastAsia="Times New Roman" w:hAnsi="Times New Roman" w:cs="Times New Roman"/>
          <w:sz w:val="24"/>
          <w:szCs w:val="24"/>
          <w:lang w:eastAsia="tr-TR"/>
        </w:rPr>
        <w:t>değerlendirilmelidir</w:t>
      </w:r>
      <w:r w:rsidR="000D35A3" w:rsidRPr="0072733A">
        <w:rPr>
          <w:rFonts w:ascii="Times New Roman" w:eastAsia="Times New Roman" w:hAnsi="Times New Roman" w:cs="Times New Roman"/>
          <w:sz w:val="24"/>
          <w:szCs w:val="24"/>
          <w:lang w:eastAsia="tr-TR"/>
        </w:rPr>
        <w:t xml:space="preserve">. </w:t>
      </w:r>
    </w:p>
    <w:p w:rsidR="0047683A" w:rsidRPr="000F0455" w:rsidRDefault="0047683A" w:rsidP="00B55128">
      <w:pPr>
        <w:pStyle w:val="Heading2"/>
      </w:pPr>
      <w:bookmarkStart w:id="175" w:name="_Toc130312572"/>
      <w:bookmarkStart w:id="176" w:name="_Toc130312705"/>
      <w:r>
        <w:t xml:space="preserve">5.3. </w:t>
      </w:r>
      <w:r w:rsidRPr="000F0455">
        <w:t>İler</w:t>
      </w:r>
      <w:r>
        <w:t>i Valörlü İşlemlerin</w:t>
      </w:r>
      <w:r w:rsidRPr="000F0455">
        <w:t xml:space="preserve"> Değerleme Esasları</w:t>
      </w:r>
      <w:bookmarkEnd w:id="175"/>
      <w:bookmarkEnd w:id="176"/>
    </w:p>
    <w:p w:rsidR="0047683A" w:rsidRPr="000F0455" w:rsidRDefault="0047683A" w:rsidP="0047683A">
      <w:pPr>
        <w:pStyle w:val="style5"/>
        <w:spacing w:before="0" w:beforeAutospacing="0" w:after="0" w:afterAutospacing="0"/>
        <w:ind w:firstLine="567"/>
        <w:jc w:val="both"/>
        <w:rPr>
          <w:b/>
          <w:bCs/>
          <w:iCs/>
          <w:color w:val="000000"/>
        </w:rPr>
      </w:pPr>
    </w:p>
    <w:p w:rsidR="0047683A" w:rsidRDefault="0094603F" w:rsidP="0047683A">
      <w:pPr>
        <w:pStyle w:val="style5"/>
        <w:spacing w:before="0" w:beforeAutospacing="0" w:after="0" w:afterAutospacing="0"/>
        <w:ind w:firstLine="851"/>
        <w:jc w:val="both"/>
        <w:rPr>
          <w:iCs/>
          <w:color w:val="000000"/>
        </w:rPr>
      </w:pPr>
      <w:r>
        <w:rPr>
          <w:iCs/>
          <w:color w:val="000000"/>
        </w:rPr>
        <w:t xml:space="preserve">a) </w:t>
      </w:r>
      <w:r w:rsidR="0047683A" w:rsidRPr="000F0455">
        <w:rPr>
          <w:iCs/>
          <w:color w:val="000000"/>
        </w:rPr>
        <w:t>İleri valörlü alınan D</w:t>
      </w:r>
      <w:r w:rsidR="00FF0603">
        <w:rPr>
          <w:iCs/>
          <w:color w:val="000000"/>
        </w:rPr>
        <w:t xml:space="preserve">evlet </w:t>
      </w:r>
      <w:r w:rsidR="0047683A" w:rsidRPr="000F0455">
        <w:rPr>
          <w:iCs/>
          <w:color w:val="000000"/>
        </w:rPr>
        <w:t>İ</w:t>
      </w:r>
      <w:r w:rsidR="00FF0603">
        <w:rPr>
          <w:iCs/>
          <w:color w:val="000000"/>
        </w:rPr>
        <w:t xml:space="preserve">ç </w:t>
      </w:r>
      <w:r w:rsidR="0047683A" w:rsidRPr="000F0455">
        <w:rPr>
          <w:iCs/>
          <w:color w:val="000000"/>
        </w:rPr>
        <w:t>B</w:t>
      </w:r>
      <w:r w:rsidR="00FF0603">
        <w:rPr>
          <w:iCs/>
          <w:color w:val="000000"/>
        </w:rPr>
        <w:t xml:space="preserve">orçlanma </w:t>
      </w:r>
      <w:r w:rsidR="0047683A" w:rsidRPr="000F0455">
        <w:rPr>
          <w:iCs/>
          <w:color w:val="000000"/>
        </w:rPr>
        <w:t>S</w:t>
      </w:r>
      <w:r w:rsidR="00FF0603">
        <w:rPr>
          <w:iCs/>
          <w:color w:val="000000"/>
        </w:rPr>
        <w:t>enetleri (DİBS)</w:t>
      </w:r>
      <w:r w:rsidR="0047683A" w:rsidRPr="000F0455">
        <w:rPr>
          <w:iCs/>
          <w:color w:val="000000"/>
        </w:rPr>
        <w:t xml:space="preserve"> valör tarihine kadar diğer DİBS’lerin arasına dahil edilmez. İleri valörlü satılan DİBS’ler ise valör tarihine kadar portföy </w:t>
      </w:r>
      <w:r w:rsidR="00FF0603">
        <w:rPr>
          <w:iCs/>
          <w:color w:val="000000"/>
        </w:rPr>
        <w:t xml:space="preserve">değeri </w:t>
      </w:r>
      <w:r w:rsidR="0047683A" w:rsidRPr="000F0455">
        <w:rPr>
          <w:iCs/>
          <w:color w:val="000000"/>
        </w:rPr>
        <w:t>tablosunda kalmaya ve değerlenmeye devam eder. İleri valörlü DİBS alım ve satım işlemleri ayrı bir vadeli işlem sözleşmesi olarak değerlenir. İşlem tutarları ise valör tarihine kadar takastan alacak veya takasa borç olarak takip edilir.</w:t>
      </w:r>
    </w:p>
    <w:p w:rsidR="0047683A" w:rsidRPr="000F0455" w:rsidRDefault="0047683A" w:rsidP="0047683A">
      <w:pPr>
        <w:pStyle w:val="style5"/>
        <w:spacing w:before="0" w:beforeAutospacing="0" w:after="0" w:afterAutospacing="0"/>
        <w:ind w:firstLine="567"/>
        <w:jc w:val="both"/>
        <w:rPr>
          <w:color w:val="000000"/>
        </w:rPr>
      </w:pPr>
    </w:p>
    <w:p w:rsidR="0047683A" w:rsidRDefault="0094603F" w:rsidP="0047683A">
      <w:pPr>
        <w:pStyle w:val="style5"/>
        <w:spacing w:before="0" w:beforeAutospacing="0" w:after="0" w:afterAutospacing="0"/>
        <w:ind w:firstLine="851"/>
        <w:jc w:val="both"/>
        <w:rPr>
          <w:iCs/>
          <w:color w:val="000000"/>
        </w:rPr>
      </w:pPr>
      <w:r>
        <w:rPr>
          <w:iCs/>
          <w:color w:val="000000"/>
        </w:rPr>
        <w:t xml:space="preserve">b) </w:t>
      </w:r>
      <w:r w:rsidR="0047683A" w:rsidRPr="000F0455">
        <w:rPr>
          <w:iCs/>
          <w:color w:val="000000"/>
        </w:rPr>
        <w:t>İleri valörlü sözleşmenin değeri alış ve satış işlemlerinde aynı yöntemle hesaplanırken işlem alış ise pozitif (+), satış ise negatif (-) bir değer olarak portföy</w:t>
      </w:r>
      <w:r w:rsidR="00FF0603">
        <w:rPr>
          <w:iCs/>
          <w:color w:val="000000"/>
        </w:rPr>
        <w:t xml:space="preserve"> değeri</w:t>
      </w:r>
      <w:r w:rsidR="0047683A" w:rsidRPr="000F0455">
        <w:rPr>
          <w:iCs/>
          <w:color w:val="000000"/>
        </w:rPr>
        <w:t xml:space="preserve"> tablosuna yansır. Aynı valörde ve aynı nominal değerde hem alış hem de satış yapılmış ise portföy </w:t>
      </w:r>
      <w:r w:rsidR="00FF0603">
        <w:rPr>
          <w:iCs/>
          <w:color w:val="000000"/>
        </w:rPr>
        <w:t xml:space="preserve">değeri </w:t>
      </w:r>
      <w:r w:rsidR="0047683A" w:rsidRPr="000F0455">
        <w:rPr>
          <w:iCs/>
          <w:color w:val="000000"/>
        </w:rPr>
        <w:t>tablosunda her iki işlem aynı değerde fakat alış işlemi pozitif (+) satış işlemi ise negatif (-) olarak gözükecektir. Bu şekilde açtığı pozisyonu ters işlemle kapatmış olan fonlarda bu işlemler portföy değeri üzerinde bir etki yaratmayacaktır.</w:t>
      </w:r>
    </w:p>
    <w:p w:rsidR="0047683A" w:rsidRPr="000F0455" w:rsidRDefault="0047683A" w:rsidP="0047683A">
      <w:pPr>
        <w:pStyle w:val="style5"/>
        <w:spacing w:before="0" w:beforeAutospacing="0" w:after="0" w:afterAutospacing="0"/>
        <w:ind w:firstLine="567"/>
        <w:jc w:val="both"/>
        <w:rPr>
          <w:color w:val="000000"/>
        </w:rPr>
      </w:pPr>
    </w:p>
    <w:p w:rsidR="0047683A" w:rsidRDefault="0094603F" w:rsidP="0047683A">
      <w:pPr>
        <w:pStyle w:val="style5"/>
        <w:spacing w:before="0" w:beforeAutospacing="0" w:after="0" w:afterAutospacing="0"/>
        <w:ind w:firstLine="851"/>
        <w:jc w:val="both"/>
        <w:rPr>
          <w:iCs/>
          <w:color w:val="000000"/>
        </w:rPr>
      </w:pPr>
      <w:r>
        <w:rPr>
          <w:iCs/>
          <w:color w:val="000000"/>
        </w:rPr>
        <w:t xml:space="preserve">c) </w:t>
      </w:r>
      <w:r w:rsidR="0047683A" w:rsidRPr="000F0455">
        <w:rPr>
          <w:iCs/>
          <w:color w:val="000000"/>
        </w:rPr>
        <w:t>İleri valörlü işlemlerin değerlemesi ise aşağıdaki formüle göre yapılacaktır:</w:t>
      </w:r>
    </w:p>
    <w:p w:rsidR="0047683A" w:rsidRPr="000F0455" w:rsidRDefault="0047683A" w:rsidP="0047683A">
      <w:pPr>
        <w:pStyle w:val="style5"/>
        <w:spacing w:before="0" w:beforeAutospacing="0" w:after="0" w:afterAutospacing="0"/>
        <w:ind w:firstLine="567"/>
        <w:jc w:val="both"/>
        <w:rPr>
          <w:color w:val="000000"/>
        </w:rPr>
      </w:pPr>
    </w:p>
    <w:p w:rsidR="0047683A" w:rsidRDefault="0047683A" w:rsidP="0047683A">
      <w:pPr>
        <w:pStyle w:val="style5"/>
        <w:spacing w:before="0" w:beforeAutospacing="0" w:after="0" w:afterAutospacing="0"/>
        <w:ind w:firstLine="851"/>
        <w:jc w:val="both"/>
        <w:rPr>
          <w:iCs/>
          <w:color w:val="000000"/>
        </w:rPr>
      </w:pPr>
      <w:r w:rsidRPr="000F0455">
        <w:rPr>
          <w:iCs/>
          <w:color w:val="000000"/>
        </w:rPr>
        <w:t>İşlemin Değeri = Vade</w:t>
      </w:r>
      <w:r>
        <w:rPr>
          <w:iCs/>
          <w:color w:val="000000"/>
        </w:rPr>
        <w:t xml:space="preserve"> </w:t>
      </w:r>
      <w:r w:rsidRPr="000F0455">
        <w:rPr>
          <w:iCs/>
          <w:color w:val="000000"/>
        </w:rPr>
        <w:t>sonu Değeri /(1+Bileşik Faiz/100)</w:t>
      </w:r>
      <w:r w:rsidRPr="007814BB">
        <w:rPr>
          <w:iCs/>
          <w:color w:val="000000"/>
          <w:vertAlign w:val="superscript"/>
        </w:rPr>
        <w:t>(vkg/365)</w:t>
      </w:r>
    </w:p>
    <w:p w:rsidR="0047683A" w:rsidRPr="000F0455" w:rsidRDefault="0047683A" w:rsidP="0047683A">
      <w:pPr>
        <w:pStyle w:val="style5"/>
        <w:spacing w:before="0" w:beforeAutospacing="0" w:after="0" w:afterAutospacing="0"/>
        <w:ind w:firstLine="851"/>
        <w:jc w:val="both"/>
        <w:rPr>
          <w:color w:val="000000"/>
        </w:rPr>
      </w:pPr>
    </w:p>
    <w:p w:rsidR="0047683A" w:rsidRDefault="0047683A" w:rsidP="0047683A">
      <w:pPr>
        <w:pStyle w:val="style5"/>
        <w:spacing w:before="0" w:beforeAutospacing="0" w:after="0" w:afterAutospacing="0"/>
        <w:ind w:firstLine="851"/>
        <w:jc w:val="both"/>
        <w:rPr>
          <w:iCs/>
          <w:color w:val="000000"/>
        </w:rPr>
      </w:pPr>
      <w:r>
        <w:rPr>
          <w:iCs/>
          <w:color w:val="000000"/>
        </w:rPr>
        <w:t>Vade Sonu Değer</w:t>
      </w:r>
      <w:r w:rsidRPr="000F0455">
        <w:rPr>
          <w:iCs/>
          <w:color w:val="000000"/>
        </w:rPr>
        <w:t>: Alım satım yapılan DİBS’in nominal değeri</w:t>
      </w:r>
    </w:p>
    <w:p w:rsidR="0047683A" w:rsidRPr="000F0455" w:rsidRDefault="0047683A" w:rsidP="0047683A">
      <w:pPr>
        <w:pStyle w:val="style5"/>
        <w:spacing w:before="0" w:beforeAutospacing="0" w:after="0" w:afterAutospacing="0"/>
        <w:ind w:firstLine="567"/>
        <w:jc w:val="both"/>
        <w:rPr>
          <w:color w:val="000000"/>
        </w:rPr>
      </w:pPr>
    </w:p>
    <w:p w:rsidR="0047683A" w:rsidRPr="000F0455" w:rsidRDefault="0047683A" w:rsidP="0047683A">
      <w:pPr>
        <w:pStyle w:val="style5"/>
        <w:spacing w:before="0" w:beforeAutospacing="0" w:after="0" w:afterAutospacing="0"/>
        <w:ind w:firstLine="851"/>
        <w:jc w:val="both"/>
        <w:rPr>
          <w:color w:val="000000"/>
        </w:rPr>
      </w:pPr>
      <w:r>
        <w:rPr>
          <w:iCs/>
          <w:color w:val="000000"/>
        </w:rPr>
        <w:t>Bileşik Faiz</w:t>
      </w:r>
      <w:r w:rsidRPr="000F0455">
        <w:rPr>
          <w:iCs/>
          <w:color w:val="000000"/>
        </w:rPr>
        <w:t xml:space="preserve">: Varsa değerleme gününde </w:t>
      </w:r>
      <w:r w:rsidR="00FF0603">
        <w:rPr>
          <w:iCs/>
          <w:color w:val="000000"/>
        </w:rPr>
        <w:t xml:space="preserve">BİAŞ’da </w:t>
      </w:r>
      <w:r w:rsidRPr="000F0455">
        <w:rPr>
          <w:iCs/>
          <w:color w:val="000000"/>
        </w:rPr>
        <w:t xml:space="preserve">valör tarihi işlemin valör tarihi ile aynı olan işlemlerin ağırlıklı ortalama faiz oranı, yoksa değerleme gününde </w:t>
      </w:r>
      <w:r w:rsidR="00FF0603">
        <w:rPr>
          <w:iCs/>
          <w:color w:val="000000"/>
        </w:rPr>
        <w:t xml:space="preserve">BİAŞ’da </w:t>
      </w:r>
      <w:r w:rsidRPr="000F0455">
        <w:rPr>
          <w:iCs/>
          <w:color w:val="000000"/>
        </w:rPr>
        <w:t>aynı gün valörlü gerçekleşen işlemlerin ağırlıklı ortalama faiz oranı, yoksa en son aynı gün valörlü olarak işlem gördüğü gündeki aynı gün valörlü işlemlerin ağırlıklı ortalama faiz oranı, bu da yoksa ihraç tarihindeki bileşik faiz oranıdır.</w:t>
      </w:r>
    </w:p>
    <w:p w:rsidR="0047683A" w:rsidRDefault="0047683A" w:rsidP="0047683A">
      <w:pPr>
        <w:pStyle w:val="style5"/>
        <w:spacing w:before="0" w:beforeAutospacing="0" w:after="0" w:afterAutospacing="0"/>
        <w:ind w:firstLine="567"/>
        <w:jc w:val="both"/>
        <w:rPr>
          <w:iCs/>
          <w:color w:val="000000"/>
        </w:rPr>
      </w:pPr>
    </w:p>
    <w:p w:rsidR="0047683A" w:rsidRDefault="0047683A" w:rsidP="0047683A">
      <w:pPr>
        <w:pStyle w:val="style5"/>
        <w:spacing w:before="0" w:beforeAutospacing="0" w:after="0" w:afterAutospacing="0"/>
        <w:ind w:firstLine="851"/>
        <w:jc w:val="both"/>
        <w:rPr>
          <w:iCs/>
          <w:color w:val="000000"/>
        </w:rPr>
      </w:pPr>
      <w:r w:rsidRPr="000F0455">
        <w:rPr>
          <w:iCs/>
          <w:color w:val="000000"/>
        </w:rPr>
        <w:t>Örneğin:</w:t>
      </w:r>
    </w:p>
    <w:p w:rsidR="0047683A" w:rsidRPr="000F0455" w:rsidRDefault="0047683A" w:rsidP="0047683A">
      <w:pPr>
        <w:pStyle w:val="style5"/>
        <w:spacing w:before="0" w:beforeAutospacing="0" w:after="0" w:afterAutospacing="0"/>
        <w:ind w:firstLine="851"/>
        <w:jc w:val="both"/>
        <w:rPr>
          <w:color w:val="000000"/>
        </w:rPr>
      </w:pPr>
    </w:p>
    <w:p w:rsidR="0047683A" w:rsidRPr="000F0455" w:rsidRDefault="0047683A" w:rsidP="0047683A">
      <w:pPr>
        <w:pStyle w:val="style5"/>
        <w:spacing w:before="0" w:beforeAutospacing="0" w:after="0" w:afterAutospacing="0"/>
        <w:ind w:firstLine="851"/>
        <w:jc w:val="both"/>
        <w:rPr>
          <w:color w:val="000000"/>
        </w:rPr>
      </w:pPr>
      <w:r w:rsidRPr="000F0455">
        <w:rPr>
          <w:iCs/>
          <w:color w:val="000000"/>
        </w:rPr>
        <w:t>İşlemin valörü 11.03.20</w:t>
      </w:r>
      <w:r>
        <w:rPr>
          <w:iCs/>
          <w:color w:val="000000"/>
        </w:rPr>
        <w:t>14 ve değerleme tarihi 27.02.201</w:t>
      </w:r>
      <w:r w:rsidRPr="000F0455">
        <w:rPr>
          <w:iCs/>
          <w:color w:val="000000"/>
        </w:rPr>
        <w:t>4 ise değerleme işleminde kullanılacak faiz oranı aşağıdaki öncelik sırasına göre seçilir.</w:t>
      </w:r>
    </w:p>
    <w:p w:rsidR="0047683A" w:rsidRPr="000F0455" w:rsidRDefault="0047683A" w:rsidP="0047683A">
      <w:pPr>
        <w:spacing w:after="0" w:line="240" w:lineRule="auto"/>
        <w:ind w:firstLine="851"/>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iCs/>
          <w:color w:val="000000"/>
          <w:sz w:val="24"/>
          <w:szCs w:val="24"/>
          <w:lang w:eastAsia="tr-TR"/>
        </w:rPr>
        <w:t>1. 27.02.201</w:t>
      </w:r>
      <w:r w:rsidRPr="000F0455">
        <w:rPr>
          <w:rFonts w:ascii="Times New Roman" w:eastAsia="Times New Roman" w:hAnsi="Times New Roman" w:cs="Times New Roman"/>
          <w:iCs/>
          <w:color w:val="000000"/>
          <w:sz w:val="24"/>
          <w:szCs w:val="24"/>
          <w:lang w:eastAsia="tr-TR"/>
        </w:rPr>
        <w:t>4</w:t>
      </w:r>
      <w:r>
        <w:rPr>
          <w:rFonts w:ascii="Times New Roman" w:eastAsia="Times New Roman" w:hAnsi="Times New Roman" w:cs="Times New Roman"/>
          <w:iCs/>
          <w:color w:val="000000"/>
          <w:sz w:val="24"/>
          <w:szCs w:val="24"/>
          <w:lang w:eastAsia="tr-TR"/>
        </w:rPr>
        <w:t xml:space="preserve"> tarihinde gerçekleşen 11.03.201</w:t>
      </w:r>
      <w:r w:rsidRPr="000F0455">
        <w:rPr>
          <w:rFonts w:ascii="Times New Roman" w:eastAsia="Times New Roman" w:hAnsi="Times New Roman" w:cs="Times New Roman"/>
          <w:iCs/>
          <w:color w:val="000000"/>
          <w:sz w:val="24"/>
          <w:szCs w:val="24"/>
          <w:lang w:eastAsia="tr-TR"/>
        </w:rPr>
        <w:t>4 valörlü işlemlerin ağırlıklı ortalama fiyatı üzerinden hesaplanan faiz oranı</w:t>
      </w:r>
    </w:p>
    <w:p w:rsidR="0047683A" w:rsidRPr="000F0455" w:rsidRDefault="0047683A" w:rsidP="0047683A">
      <w:pPr>
        <w:spacing w:after="0" w:line="240" w:lineRule="auto"/>
        <w:ind w:firstLine="851"/>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iCs/>
          <w:color w:val="000000"/>
          <w:sz w:val="24"/>
          <w:szCs w:val="24"/>
          <w:lang w:eastAsia="tr-TR"/>
        </w:rPr>
        <w:t>2. 27.02.201</w:t>
      </w:r>
      <w:r w:rsidRPr="000F0455">
        <w:rPr>
          <w:rFonts w:ascii="Times New Roman" w:eastAsia="Times New Roman" w:hAnsi="Times New Roman" w:cs="Times New Roman"/>
          <w:iCs/>
          <w:color w:val="000000"/>
          <w:sz w:val="24"/>
          <w:szCs w:val="24"/>
          <w:lang w:eastAsia="tr-TR"/>
        </w:rPr>
        <w:t>4</w:t>
      </w:r>
      <w:r>
        <w:rPr>
          <w:rFonts w:ascii="Times New Roman" w:eastAsia="Times New Roman" w:hAnsi="Times New Roman" w:cs="Times New Roman"/>
          <w:iCs/>
          <w:color w:val="000000"/>
          <w:sz w:val="24"/>
          <w:szCs w:val="24"/>
          <w:lang w:eastAsia="tr-TR"/>
        </w:rPr>
        <w:t xml:space="preserve"> tarihinde gerçekleşen 27.02.201</w:t>
      </w:r>
      <w:r w:rsidRPr="000F0455">
        <w:rPr>
          <w:rFonts w:ascii="Times New Roman" w:eastAsia="Times New Roman" w:hAnsi="Times New Roman" w:cs="Times New Roman"/>
          <w:iCs/>
          <w:color w:val="000000"/>
          <w:sz w:val="24"/>
          <w:szCs w:val="24"/>
          <w:lang w:eastAsia="tr-TR"/>
        </w:rPr>
        <w:t>4 valörlü işlemlerin ağırlıklı ortalama fiyatı üzerinden hesaplanan faiz oranı</w:t>
      </w:r>
    </w:p>
    <w:p w:rsidR="0047683A" w:rsidRPr="000F0455" w:rsidRDefault="0047683A" w:rsidP="0047683A">
      <w:pPr>
        <w:spacing w:after="0" w:line="240" w:lineRule="auto"/>
        <w:ind w:firstLine="851"/>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iCs/>
          <w:color w:val="000000"/>
          <w:sz w:val="24"/>
          <w:szCs w:val="24"/>
          <w:lang w:eastAsia="tr-TR"/>
        </w:rPr>
        <w:t>3. 26.02.201</w:t>
      </w:r>
      <w:r w:rsidRPr="000F0455">
        <w:rPr>
          <w:rFonts w:ascii="Times New Roman" w:eastAsia="Times New Roman" w:hAnsi="Times New Roman" w:cs="Times New Roman"/>
          <w:iCs/>
          <w:color w:val="000000"/>
          <w:sz w:val="24"/>
          <w:szCs w:val="24"/>
          <w:lang w:eastAsia="tr-TR"/>
        </w:rPr>
        <w:t>4</w:t>
      </w:r>
      <w:r>
        <w:rPr>
          <w:rFonts w:ascii="Times New Roman" w:eastAsia="Times New Roman" w:hAnsi="Times New Roman" w:cs="Times New Roman"/>
          <w:iCs/>
          <w:color w:val="000000"/>
          <w:sz w:val="24"/>
          <w:szCs w:val="24"/>
          <w:lang w:eastAsia="tr-TR"/>
        </w:rPr>
        <w:t xml:space="preserve"> tarihinde gerçekleşen 26.02.201</w:t>
      </w:r>
      <w:r w:rsidRPr="000F0455">
        <w:rPr>
          <w:rFonts w:ascii="Times New Roman" w:eastAsia="Times New Roman" w:hAnsi="Times New Roman" w:cs="Times New Roman"/>
          <w:iCs/>
          <w:color w:val="000000"/>
          <w:sz w:val="24"/>
          <w:szCs w:val="24"/>
          <w:lang w:eastAsia="tr-TR"/>
        </w:rPr>
        <w:t>4 valörlü işlemlerin ağırlıklı ortalama fiyatı üzerinden hesaplanan faiz oranı</w:t>
      </w:r>
    </w:p>
    <w:p w:rsidR="0047683A" w:rsidRPr="000F0455" w:rsidRDefault="0047683A" w:rsidP="0047683A">
      <w:pPr>
        <w:spacing w:after="0" w:line="240" w:lineRule="auto"/>
        <w:ind w:firstLine="851"/>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iCs/>
          <w:color w:val="000000"/>
          <w:sz w:val="24"/>
          <w:szCs w:val="24"/>
          <w:lang w:eastAsia="tr-TR"/>
        </w:rPr>
        <w:t>4. 25.02.201</w:t>
      </w:r>
      <w:r w:rsidRPr="000F0455">
        <w:rPr>
          <w:rFonts w:ascii="Times New Roman" w:eastAsia="Times New Roman" w:hAnsi="Times New Roman" w:cs="Times New Roman"/>
          <w:iCs/>
          <w:color w:val="000000"/>
          <w:sz w:val="24"/>
          <w:szCs w:val="24"/>
          <w:lang w:eastAsia="tr-TR"/>
        </w:rPr>
        <w:t>4</w:t>
      </w:r>
      <w:r>
        <w:rPr>
          <w:rFonts w:ascii="Times New Roman" w:eastAsia="Times New Roman" w:hAnsi="Times New Roman" w:cs="Times New Roman"/>
          <w:iCs/>
          <w:color w:val="000000"/>
          <w:sz w:val="24"/>
          <w:szCs w:val="24"/>
          <w:lang w:eastAsia="tr-TR"/>
        </w:rPr>
        <w:t xml:space="preserve"> tarihinde gerçekleşen 25.02.201</w:t>
      </w:r>
      <w:r w:rsidRPr="000F0455">
        <w:rPr>
          <w:rFonts w:ascii="Times New Roman" w:eastAsia="Times New Roman" w:hAnsi="Times New Roman" w:cs="Times New Roman"/>
          <w:iCs/>
          <w:color w:val="000000"/>
          <w:sz w:val="24"/>
          <w:szCs w:val="24"/>
          <w:lang w:eastAsia="tr-TR"/>
        </w:rPr>
        <w:t>4 valörlü işlemlerin ağırlıklı ortalama fiyatı üzerinden hesaplanan faiz oranı</w:t>
      </w:r>
    </w:p>
    <w:p w:rsidR="0047683A" w:rsidRDefault="0047683A" w:rsidP="0047683A">
      <w:pPr>
        <w:spacing w:after="0" w:line="240" w:lineRule="auto"/>
        <w:ind w:left="567" w:firstLine="284"/>
        <w:jc w:val="both"/>
        <w:rPr>
          <w:rFonts w:ascii="Times New Roman" w:eastAsia="Times New Roman" w:hAnsi="Times New Roman" w:cs="Times New Roman"/>
          <w:iCs/>
          <w:color w:val="000000"/>
          <w:sz w:val="24"/>
          <w:szCs w:val="24"/>
          <w:lang w:eastAsia="tr-TR"/>
        </w:rPr>
      </w:pPr>
      <w:r>
        <w:rPr>
          <w:rFonts w:ascii="Times New Roman" w:eastAsia="Times New Roman" w:hAnsi="Times New Roman" w:cs="Times New Roman"/>
          <w:iCs/>
          <w:color w:val="000000"/>
          <w:sz w:val="24"/>
          <w:szCs w:val="24"/>
          <w:lang w:eastAsia="tr-TR"/>
        </w:rPr>
        <w:t>5…..</w:t>
      </w:r>
    </w:p>
    <w:p w:rsidR="0047683A" w:rsidRPr="000F0455" w:rsidRDefault="0047683A" w:rsidP="0047683A">
      <w:pPr>
        <w:spacing w:after="0" w:line="240" w:lineRule="auto"/>
        <w:ind w:left="567" w:firstLine="284"/>
        <w:jc w:val="both"/>
        <w:rPr>
          <w:rFonts w:ascii="Times New Roman" w:eastAsia="Times New Roman" w:hAnsi="Times New Roman" w:cs="Times New Roman"/>
          <w:color w:val="000000"/>
          <w:sz w:val="24"/>
          <w:szCs w:val="24"/>
          <w:lang w:eastAsia="tr-TR"/>
        </w:rPr>
      </w:pPr>
      <w:r w:rsidRPr="000F0455">
        <w:rPr>
          <w:rFonts w:ascii="Times New Roman" w:eastAsia="Times New Roman" w:hAnsi="Times New Roman" w:cs="Times New Roman"/>
          <w:iCs/>
          <w:color w:val="000000"/>
          <w:sz w:val="24"/>
          <w:szCs w:val="24"/>
          <w:lang w:eastAsia="tr-TR"/>
        </w:rPr>
        <w:t>6. İhraç tarihindeki ağırlıklı ortalama faiz oranı</w:t>
      </w:r>
    </w:p>
    <w:p w:rsidR="0047683A" w:rsidRDefault="0047683A" w:rsidP="0047683A">
      <w:pPr>
        <w:spacing w:after="0" w:line="240" w:lineRule="auto"/>
        <w:ind w:firstLine="567"/>
        <w:jc w:val="both"/>
        <w:rPr>
          <w:rFonts w:ascii="Times New Roman" w:eastAsia="Times New Roman" w:hAnsi="Times New Roman" w:cs="Times New Roman"/>
          <w:iCs/>
          <w:color w:val="000000"/>
          <w:sz w:val="24"/>
          <w:szCs w:val="24"/>
          <w:lang w:eastAsia="tr-TR"/>
        </w:rPr>
      </w:pPr>
    </w:p>
    <w:p w:rsidR="0047683A" w:rsidRPr="000F0455" w:rsidRDefault="0047683A" w:rsidP="0047683A">
      <w:pPr>
        <w:spacing w:after="0" w:line="240" w:lineRule="auto"/>
        <w:ind w:firstLine="851"/>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iCs/>
          <w:color w:val="000000"/>
          <w:sz w:val="24"/>
          <w:szCs w:val="24"/>
          <w:lang w:eastAsia="tr-TR"/>
        </w:rPr>
        <w:t>V</w:t>
      </w:r>
      <w:r w:rsidR="00FF0603">
        <w:rPr>
          <w:rFonts w:ascii="Times New Roman" w:eastAsia="Times New Roman" w:hAnsi="Times New Roman" w:cs="Times New Roman"/>
          <w:iCs/>
          <w:color w:val="000000"/>
          <w:sz w:val="24"/>
          <w:szCs w:val="24"/>
          <w:lang w:eastAsia="tr-TR"/>
        </w:rPr>
        <w:t xml:space="preserve">adeye </w:t>
      </w:r>
      <w:r>
        <w:rPr>
          <w:rFonts w:ascii="Times New Roman" w:eastAsia="Times New Roman" w:hAnsi="Times New Roman" w:cs="Times New Roman"/>
          <w:iCs/>
          <w:color w:val="000000"/>
          <w:sz w:val="24"/>
          <w:szCs w:val="24"/>
          <w:lang w:eastAsia="tr-TR"/>
        </w:rPr>
        <w:t>K</w:t>
      </w:r>
      <w:r w:rsidR="00FF0603">
        <w:rPr>
          <w:rFonts w:ascii="Times New Roman" w:eastAsia="Times New Roman" w:hAnsi="Times New Roman" w:cs="Times New Roman"/>
          <w:iCs/>
          <w:color w:val="000000"/>
          <w:sz w:val="24"/>
          <w:szCs w:val="24"/>
          <w:lang w:eastAsia="tr-TR"/>
        </w:rPr>
        <w:t xml:space="preserve">alan </w:t>
      </w:r>
      <w:r>
        <w:rPr>
          <w:rFonts w:ascii="Times New Roman" w:eastAsia="Times New Roman" w:hAnsi="Times New Roman" w:cs="Times New Roman"/>
          <w:iCs/>
          <w:color w:val="000000"/>
          <w:sz w:val="24"/>
          <w:szCs w:val="24"/>
          <w:lang w:eastAsia="tr-TR"/>
        </w:rPr>
        <w:t>G</w:t>
      </w:r>
      <w:r w:rsidR="00FF0603">
        <w:rPr>
          <w:rFonts w:ascii="Times New Roman" w:eastAsia="Times New Roman" w:hAnsi="Times New Roman" w:cs="Times New Roman"/>
          <w:iCs/>
          <w:color w:val="000000"/>
          <w:sz w:val="24"/>
          <w:szCs w:val="24"/>
          <w:lang w:eastAsia="tr-TR"/>
        </w:rPr>
        <w:t>ün (VKG)</w:t>
      </w:r>
      <w:r w:rsidRPr="000F0455">
        <w:rPr>
          <w:rFonts w:ascii="Times New Roman" w:eastAsia="Times New Roman" w:hAnsi="Times New Roman" w:cs="Times New Roman"/>
          <w:iCs/>
          <w:color w:val="000000"/>
          <w:sz w:val="24"/>
          <w:szCs w:val="24"/>
          <w:lang w:eastAsia="tr-TR"/>
        </w:rPr>
        <w:t>: İlgili kıymetin itfa tarihi ile valör tarihi arasındaki farktır. Örneğin 27.04.20</w:t>
      </w:r>
      <w:r>
        <w:rPr>
          <w:rFonts w:ascii="Times New Roman" w:eastAsia="Times New Roman" w:hAnsi="Times New Roman" w:cs="Times New Roman"/>
          <w:iCs/>
          <w:color w:val="000000"/>
          <w:sz w:val="24"/>
          <w:szCs w:val="24"/>
          <w:lang w:eastAsia="tr-TR"/>
        </w:rPr>
        <w:t>14</w:t>
      </w:r>
      <w:r w:rsidRPr="000F0455">
        <w:rPr>
          <w:rFonts w:ascii="Times New Roman" w:eastAsia="Times New Roman" w:hAnsi="Times New Roman" w:cs="Times New Roman"/>
          <w:iCs/>
          <w:color w:val="000000"/>
          <w:sz w:val="24"/>
          <w:szCs w:val="24"/>
          <w:lang w:eastAsia="tr-TR"/>
        </w:rPr>
        <w:t xml:space="preserve"> tarihinde itfa olacak bir kıymet için 19.03.20</w:t>
      </w:r>
      <w:r>
        <w:rPr>
          <w:rFonts w:ascii="Times New Roman" w:eastAsia="Times New Roman" w:hAnsi="Times New Roman" w:cs="Times New Roman"/>
          <w:iCs/>
          <w:color w:val="000000"/>
          <w:sz w:val="24"/>
          <w:szCs w:val="24"/>
          <w:lang w:eastAsia="tr-TR"/>
        </w:rPr>
        <w:t>1</w:t>
      </w:r>
      <w:r w:rsidRPr="000F0455">
        <w:rPr>
          <w:rFonts w:ascii="Times New Roman" w:eastAsia="Times New Roman" w:hAnsi="Times New Roman" w:cs="Times New Roman"/>
          <w:iCs/>
          <w:color w:val="000000"/>
          <w:sz w:val="24"/>
          <w:szCs w:val="24"/>
          <w:lang w:eastAsia="tr-TR"/>
        </w:rPr>
        <w:t>4 tarihi valörlü işlem yapılmış ise VKG=404 olacaktır. Valör tarihi ve itfa tarihi değişmeyeceğinden, valör tarihine kadar yapılan tüm değerleme işlemlerinde VKG sayısı da değişmeyecektir</w:t>
      </w:r>
    </w:p>
    <w:p w:rsidR="0047683A" w:rsidRDefault="0047683A" w:rsidP="0047683A"/>
    <w:p w:rsidR="0047683A" w:rsidRPr="000F0455" w:rsidRDefault="0047683A" w:rsidP="00B55128">
      <w:pPr>
        <w:pStyle w:val="Heading2"/>
        <w:rPr>
          <w:rFonts w:eastAsia="Times New Roman"/>
          <w:lang w:eastAsia="tr-TR"/>
        </w:rPr>
      </w:pPr>
      <w:bookmarkStart w:id="177" w:name="_Toc130312573"/>
      <w:bookmarkStart w:id="178" w:name="_Toc130312706"/>
      <w:r>
        <w:rPr>
          <w:rFonts w:eastAsia="Times New Roman"/>
          <w:lang w:eastAsia="tr-TR"/>
        </w:rPr>
        <w:t xml:space="preserve">5.4. </w:t>
      </w:r>
      <w:r w:rsidR="009E10B8">
        <w:t>(</w:t>
      </w:r>
      <w:r w:rsidR="002503D7">
        <w:t>Değişiklik:</w:t>
      </w:r>
      <w:r w:rsidR="009E10B8" w:rsidRPr="009E10B8">
        <w:rPr>
          <w:rFonts w:eastAsia="Times New Roman" w:cs="Times New Roman"/>
          <w:szCs w:val="24"/>
          <w:lang w:eastAsia="tr-TR"/>
        </w:rPr>
        <w:t xml:space="preserve"> 21.03.2023 tarih ve </w:t>
      </w:r>
      <w:r w:rsidR="002503D7" w:rsidRPr="002503D7">
        <w:rPr>
          <w:rFonts w:eastAsia="Times New Roman" w:cs="Times New Roman"/>
          <w:szCs w:val="24"/>
          <w:lang w:eastAsia="tr-TR"/>
        </w:rPr>
        <w:t>17/366</w:t>
      </w:r>
      <w:r w:rsidR="009E10B8" w:rsidRPr="009E10B8">
        <w:rPr>
          <w:rFonts w:eastAsia="Times New Roman" w:cs="Times New Roman"/>
          <w:szCs w:val="24"/>
          <w:lang w:eastAsia="tr-TR"/>
        </w:rPr>
        <w:t xml:space="preserve"> sayılı Kurul Kararı ile</w:t>
      </w:r>
      <w:r w:rsidR="009E10B8" w:rsidRPr="009E10B8">
        <w:t>)</w:t>
      </w:r>
      <w:r w:rsidR="009E10B8">
        <w:t xml:space="preserve"> </w:t>
      </w:r>
      <w:r w:rsidRPr="000F0455">
        <w:rPr>
          <w:rFonts w:eastAsia="Times New Roman"/>
          <w:lang w:eastAsia="tr-TR"/>
        </w:rPr>
        <w:t>İ</w:t>
      </w:r>
      <w:r>
        <w:rPr>
          <w:rFonts w:eastAsia="Times New Roman"/>
          <w:lang w:eastAsia="tr-TR"/>
        </w:rPr>
        <w:t>leri V</w:t>
      </w:r>
      <w:r w:rsidRPr="000F0455">
        <w:rPr>
          <w:rFonts w:eastAsia="Times New Roman"/>
          <w:lang w:eastAsia="tr-TR"/>
        </w:rPr>
        <w:t xml:space="preserve">alörlü </w:t>
      </w:r>
      <w:r>
        <w:rPr>
          <w:rFonts w:eastAsia="Times New Roman"/>
          <w:lang w:eastAsia="tr-TR"/>
        </w:rPr>
        <w:t>Altın İ</w:t>
      </w:r>
      <w:r w:rsidRPr="000F0455">
        <w:rPr>
          <w:rFonts w:eastAsia="Times New Roman"/>
          <w:lang w:eastAsia="tr-TR"/>
        </w:rPr>
        <w:t>şlemlerin</w:t>
      </w:r>
      <w:r w:rsidR="00B55128">
        <w:rPr>
          <w:rFonts w:eastAsia="Times New Roman"/>
          <w:lang w:eastAsia="tr-TR"/>
        </w:rPr>
        <w:t>in Değerleme Esasları</w:t>
      </w:r>
      <w:bookmarkEnd w:id="177"/>
      <w:bookmarkEnd w:id="178"/>
    </w:p>
    <w:p w:rsidR="0047683A" w:rsidRPr="000F0455" w:rsidRDefault="0047683A" w:rsidP="0047683A">
      <w:pPr>
        <w:spacing w:after="0" w:line="240" w:lineRule="auto"/>
        <w:ind w:firstLine="567"/>
        <w:jc w:val="both"/>
        <w:rPr>
          <w:rFonts w:ascii="Times New Roman" w:eastAsia="Times New Roman" w:hAnsi="Times New Roman" w:cs="Times New Roman"/>
          <w:iCs/>
          <w:color w:val="000000"/>
          <w:sz w:val="24"/>
          <w:szCs w:val="24"/>
          <w:lang w:eastAsia="tr-TR"/>
        </w:rPr>
      </w:pPr>
    </w:p>
    <w:p w:rsidR="0047683A" w:rsidRPr="000F0455" w:rsidRDefault="0052568E" w:rsidP="0047683A">
      <w:pPr>
        <w:spacing w:after="0" w:line="240" w:lineRule="auto"/>
        <w:ind w:firstLine="567"/>
        <w:jc w:val="both"/>
        <w:rPr>
          <w:rFonts w:ascii="Times New Roman" w:eastAsia="Times New Roman" w:hAnsi="Times New Roman" w:cs="Times New Roman"/>
          <w:iCs/>
          <w:color w:val="000000"/>
          <w:sz w:val="24"/>
          <w:szCs w:val="24"/>
          <w:lang w:eastAsia="tr-TR"/>
        </w:rPr>
      </w:pPr>
      <w:r>
        <w:rPr>
          <w:rFonts w:ascii="Times New Roman" w:eastAsia="Times New Roman" w:hAnsi="Times New Roman" w:cs="Times New Roman"/>
          <w:iCs/>
          <w:color w:val="000000"/>
          <w:sz w:val="24"/>
          <w:szCs w:val="24"/>
          <w:lang w:eastAsia="tr-TR"/>
        </w:rPr>
        <w:t>a)</w:t>
      </w:r>
      <w:r w:rsidR="0047683A" w:rsidRPr="000F0455">
        <w:rPr>
          <w:rFonts w:ascii="Times New Roman" w:eastAsia="Times New Roman" w:hAnsi="Times New Roman" w:cs="Times New Roman"/>
          <w:iCs/>
          <w:color w:val="000000"/>
          <w:sz w:val="24"/>
          <w:szCs w:val="24"/>
          <w:lang w:eastAsia="tr-TR"/>
        </w:rPr>
        <w:t>  </w:t>
      </w:r>
      <w:r w:rsidR="0047683A">
        <w:rPr>
          <w:rFonts w:ascii="Times New Roman" w:eastAsia="Times New Roman" w:hAnsi="Times New Roman" w:cs="Times New Roman"/>
          <w:iCs/>
          <w:color w:val="000000"/>
          <w:sz w:val="24"/>
          <w:szCs w:val="24"/>
          <w:lang w:eastAsia="tr-TR"/>
        </w:rPr>
        <w:t>Altın s</w:t>
      </w:r>
      <w:r w:rsidR="0047683A" w:rsidRPr="000F0455">
        <w:rPr>
          <w:rFonts w:ascii="Times New Roman" w:eastAsia="Times New Roman" w:hAnsi="Times New Roman" w:cs="Times New Roman"/>
          <w:iCs/>
          <w:color w:val="000000"/>
          <w:sz w:val="24"/>
          <w:szCs w:val="24"/>
          <w:lang w:eastAsia="tr-TR"/>
        </w:rPr>
        <w:t>pot işlemler</w:t>
      </w:r>
      <w:r w:rsidR="0047683A">
        <w:rPr>
          <w:rFonts w:ascii="Times New Roman" w:eastAsia="Times New Roman" w:hAnsi="Times New Roman" w:cs="Times New Roman"/>
          <w:iCs/>
          <w:color w:val="000000"/>
          <w:sz w:val="24"/>
          <w:szCs w:val="24"/>
          <w:lang w:eastAsia="tr-TR"/>
        </w:rPr>
        <w:t>in</w:t>
      </w:r>
      <w:r w:rsidR="0047683A" w:rsidRPr="000F0455">
        <w:rPr>
          <w:rFonts w:ascii="Times New Roman" w:eastAsia="Times New Roman" w:hAnsi="Times New Roman" w:cs="Times New Roman"/>
          <w:iCs/>
          <w:color w:val="000000"/>
          <w:sz w:val="24"/>
          <w:szCs w:val="24"/>
          <w:lang w:eastAsia="tr-TR"/>
        </w:rPr>
        <w:t>de;</w:t>
      </w:r>
    </w:p>
    <w:p w:rsidR="0047683A" w:rsidRPr="000F0455" w:rsidRDefault="0052568E" w:rsidP="0047683A">
      <w:pPr>
        <w:spacing w:after="0" w:line="240" w:lineRule="auto"/>
        <w:ind w:left="1560" w:hanging="709"/>
        <w:jc w:val="both"/>
        <w:rPr>
          <w:rFonts w:ascii="Times New Roman" w:eastAsia="Times New Roman" w:hAnsi="Times New Roman" w:cs="Times New Roman"/>
          <w:iCs/>
          <w:color w:val="000000"/>
          <w:sz w:val="24"/>
          <w:szCs w:val="24"/>
          <w:lang w:eastAsia="tr-TR"/>
        </w:rPr>
      </w:pPr>
      <w:r>
        <w:rPr>
          <w:rFonts w:ascii="Times New Roman" w:eastAsia="Times New Roman" w:hAnsi="Times New Roman" w:cs="Times New Roman"/>
          <w:iCs/>
          <w:color w:val="000000"/>
          <w:sz w:val="24"/>
          <w:szCs w:val="24"/>
          <w:lang w:eastAsia="tr-TR"/>
        </w:rPr>
        <w:t>i</w:t>
      </w:r>
      <w:r w:rsidR="0047683A" w:rsidRPr="000F0455">
        <w:rPr>
          <w:rFonts w:ascii="Times New Roman" w:eastAsia="Times New Roman" w:hAnsi="Times New Roman" w:cs="Times New Roman"/>
          <w:iCs/>
          <w:color w:val="000000"/>
          <w:sz w:val="24"/>
          <w:szCs w:val="24"/>
          <w:lang w:eastAsia="tr-TR"/>
        </w:rPr>
        <w:t>.        </w:t>
      </w:r>
      <w:r w:rsidR="009D3E3B">
        <w:rPr>
          <w:rFonts w:ascii="Times New Roman" w:eastAsia="Times New Roman" w:hAnsi="Times New Roman" w:cs="Times New Roman"/>
          <w:iCs/>
          <w:color w:val="000000"/>
          <w:sz w:val="24"/>
          <w:szCs w:val="24"/>
          <w:lang w:eastAsia="tr-TR"/>
        </w:rPr>
        <w:t>BİAŞ’ın</w:t>
      </w:r>
      <w:r w:rsidR="0047683A">
        <w:rPr>
          <w:rFonts w:ascii="Times New Roman" w:eastAsia="Times New Roman" w:hAnsi="Times New Roman" w:cs="Times New Roman"/>
          <w:iCs/>
          <w:color w:val="000000"/>
          <w:sz w:val="24"/>
          <w:szCs w:val="24"/>
          <w:lang w:eastAsia="tr-TR"/>
        </w:rPr>
        <w:t xml:space="preserve"> ilgili</w:t>
      </w:r>
      <w:r w:rsidR="0047683A" w:rsidRPr="000F0455">
        <w:rPr>
          <w:rFonts w:ascii="Times New Roman" w:eastAsia="Times New Roman" w:hAnsi="Times New Roman" w:cs="Times New Roman"/>
          <w:iCs/>
          <w:color w:val="000000"/>
          <w:sz w:val="24"/>
          <w:szCs w:val="24"/>
          <w:lang w:eastAsia="tr-TR"/>
        </w:rPr>
        <w:t xml:space="preserve"> Günlük Bülteni’nde (T+0) valörlü USD/ons </w:t>
      </w:r>
      <w:r w:rsidR="009E10B8">
        <w:rPr>
          <w:rFonts w:ascii="Times New Roman" w:eastAsia="Times New Roman" w:hAnsi="Times New Roman" w:cs="Times New Roman"/>
          <w:iCs/>
          <w:color w:val="000000"/>
          <w:sz w:val="24"/>
          <w:szCs w:val="24"/>
          <w:lang w:eastAsia="tr-TR"/>
        </w:rPr>
        <w:t xml:space="preserve">veya diğer para birimlerinden gerçekleştirilen </w:t>
      </w:r>
      <w:r w:rsidR="0047683A" w:rsidRPr="000F0455">
        <w:rPr>
          <w:rFonts w:ascii="Times New Roman" w:eastAsia="Times New Roman" w:hAnsi="Times New Roman" w:cs="Times New Roman"/>
          <w:iCs/>
          <w:color w:val="000000"/>
          <w:sz w:val="24"/>
          <w:szCs w:val="24"/>
          <w:lang w:eastAsia="tr-TR"/>
        </w:rPr>
        <w:t>işlemler için açıklanan ağırlıklı ortalama fiyatın kullanılması,</w:t>
      </w:r>
    </w:p>
    <w:p w:rsidR="0047683A" w:rsidRDefault="0052568E" w:rsidP="0047683A">
      <w:pPr>
        <w:spacing w:after="0" w:line="240" w:lineRule="auto"/>
        <w:ind w:left="1560" w:hanging="709"/>
        <w:jc w:val="both"/>
        <w:rPr>
          <w:rFonts w:ascii="Times New Roman" w:eastAsia="Times New Roman" w:hAnsi="Times New Roman" w:cs="Times New Roman"/>
          <w:iCs/>
          <w:color w:val="000000"/>
          <w:sz w:val="24"/>
          <w:szCs w:val="24"/>
          <w:lang w:eastAsia="tr-TR"/>
        </w:rPr>
      </w:pPr>
      <w:r>
        <w:rPr>
          <w:rFonts w:ascii="Times New Roman" w:eastAsia="Times New Roman" w:hAnsi="Times New Roman" w:cs="Times New Roman"/>
          <w:iCs/>
          <w:color w:val="000000"/>
          <w:sz w:val="24"/>
          <w:szCs w:val="24"/>
          <w:lang w:eastAsia="tr-TR"/>
        </w:rPr>
        <w:t>ii</w:t>
      </w:r>
      <w:r w:rsidR="0047683A" w:rsidRPr="000F0455">
        <w:rPr>
          <w:rFonts w:ascii="Times New Roman" w:eastAsia="Times New Roman" w:hAnsi="Times New Roman" w:cs="Times New Roman"/>
          <w:iCs/>
          <w:color w:val="000000"/>
          <w:sz w:val="24"/>
          <w:szCs w:val="24"/>
          <w:lang w:eastAsia="tr-TR"/>
        </w:rPr>
        <w:t xml:space="preserve">.        Söz konusu işlemlerin portföye alımında alış fiyatının, alım </w:t>
      </w:r>
      <w:r w:rsidR="0047683A">
        <w:rPr>
          <w:rFonts w:ascii="Times New Roman" w:eastAsia="Times New Roman" w:hAnsi="Times New Roman" w:cs="Times New Roman"/>
          <w:iCs/>
          <w:color w:val="000000"/>
          <w:sz w:val="24"/>
          <w:szCs w:val="24"/>
          <w:lang w:eastAsia="tr-TR"/>
        </w:rPr>
        <w:t xml:space="preserve">tarihinden başlamak üzere ise </w:t>
      </w:r>
      <w:r w:rsidR="009D3E3B">
        <w:rPr>
          <w:rFonts w:ascii="Times New Roman" w:eastAsia="Times New Roman" w:hAnsi="Times New Roman" w:cs="Times New Roman"/>
          <w:iCs/>
          <w:color w:val="000000"/>
          <w:sz w:val="24"/>
          <w:szCs w:val="24"/>
          <w:lang w:eastAsia="tr-TR"/>
        </w:rPr>
        <w:t>BİAŞ’ta</w:t>
      </w:r>
      <w:r w:rsidR="0047683A" w:rsidRPr="000F0455">
        <w:rPr>
          <w:rFonts w:ascii="Times New Roman" w:eastAsia="Times New Roman" w:hAnsi="Times New Roman" w:cs="Times New Roman"/>
          <w:iCs/>
          <w:color w:val="000000"/>
          <w:sz w:val="24"/>
          <w:szCs w:val="24"/>
          <w:lang w:eastAsia="tr-TR"/>
        </w:rPr>
        <w:t xml:space="preserve"> değerleme günü itibariyle oluşan fiyatlarının; </w:t>
      </w:r>
      <w:r w:rsidR="0047683A">
        <w:rPr>
          <w:rFonts w:ascii="Times New Roman" w:eastAsia="Times New Roman" w:hAnsi="Times New Roman" w:cs="Times New Roman"/>
          <w:iCs/>
          <w:color w:val="000000"/>
          <w:sz w:val="24"/>
          <w:szCs w:val="24"/>
          <w:lang w:eastAsia="tr-TR"/>
        </w:rPr>
        <w:t>Finansal Raporlama Tebliğ</w:t>
      </w:r>
      <w:r w:rsidR="0047683A" w:rsidRPr="000F0455">
        <w:rPr>
          <w:rFonts w:ascii="Times New Roman" w:eastAsia="Times New Roman" w:hAnsi="Times New Roman" w:cs="Times New Roman"/>
          <w:iCs/>
          <w:color w:val="000000"/>
          <w:sz w:val="24"/>
          <w:szCs w:val="24"/>
          <w:lang w:eastAsia="tr-TR"/>
        </w:rPr>
        <w:t>i</w:t>
      </w:r>
      <w:r w:rsidR="0047683A">
        <w:rPr>
          <w:rFonts w:ascii="Times New Roman" w:eastAsia="Times New Roman" w:hAnsi="Times New Roman" w:cs="Times New Roman"/>
          <w:iCs/>
          <w:color w:val="000000"/>
          <w:sz w:val="24"/>
          <w:szCs w:val="24"/>
          <w:lang w:eastAsia="tr-TR"/>
        </w:rPr>
        <w:t>’</w:t>
      </w:r>
      <w:r w:rsidR="0047683A" w:rsidRPr="000F0455">
        <w:rPr>
          <w:rFonts w:ascii="Times New Roman" w:eastAsia="Times New Roman" w:hAnsi="Times New Roman" w:cs="Times New Roman"/>
          <w:iCs/>
          <w:color w:val="000000"/>
          <w:sz w:val="24"/>
          <w:szCs w:val="24"/>
          <w:lang w:eastAsia="tr-TR"/>
        </w:rPr>
        <w:t>n</w:t>
      </w:r>
      <w:r w:rsidR="0047683A">
        <w:rPr>
          <w:rFonts w:ascii="Times New Roman" w:eastAsia="Times New Roman" w:hAnsi="Times New Roman" w:cs="Times New Roman"/>
          <w:iCs/>
          <w:color w:val="000000"/>
          <w:sz w:val="24"/>
          <w:szCs w:val="24"/>
          <w:lang w:eastAsia="tr-TR"/>
        </w:rPr>
        <w:t>in 9</w:t>
      </w:r>
      <w:r w:rsidR="0047683A" w:rsidRPr="000F0455">
        <w:rPr>
          <w:rFonts w:ascii="Times New Roman" w:eastAsia="Times New Roman" w:hAnsi="Times New Roman" w:cs="Times New Roman"/>
          <w:iCs/>
          <w:color w:val="000000"/>
          <w:sz w:val="24"/>
          <w:szCs w:val="24"/>
          <w:lang w:eastAsia="tr-TR"/>
        </w:rPr>
        <w:t xml:space="preserve">. </w:t>
      </w:r>
      <w:r w:rsidR="0047683A">
        <w:rPr>
          <w:rFonts w:ascii="Times New Roman" w:eastAsia="Times New Roman" w:hAnsi="Times New Roman" w:cs="Times New Roman"/>
          <w:iCs/>
          <w:color w:val="000000"/>
          <w:sz w:val="24"/>
          <w:szCs w:val="24"/>
          <w:lang w:eastAsia="tr-TR"/>
        </w:rPr>
        <w:t>m</w:t>
      </w:r>
      <w:r w:rsidR="0047683A" w:rsidRPr="000F0455">
        <w:rPr>
          <w:rFonts w:ascii="Times New Roman" w:eastAsia="Times New Roman" w:hAnsi="Times New Roman" w:cs="Times New Roman"/>
          <w:iCs/>
          <w:color w:val="000000"/>
          <w:sz w:val="24"/>
          <w:szCs w:val="24"/>
          <w:lang w:eastAsia="tr-TR"/>
        </w:rPr>
        <w:t>addesinin</w:t>
      </w:r>
      <w:r w:rsidR="0047683A">
        <w:rPr>
          <w:rFonts w:ascii="Times New Roman" w:eastAsia="Times New Roman" w:hAnsi="Times New Roman" w:cs="Times New Roman"/>
          <w:iCs/>
          <w:color w:val="000000"/>
          <w:sz w:val="24"/>
          <w:szCs w:val="24"/>
          <w:lang w:eastAsia="tr-TR"/>
        </w:rPr>
        <w:t xml:space="preserve"> birinci fıkrasının</w:t>
      </w:r>
      <w:r w:rsidR="0047683A" w:rsidRPr="000F0455">
        <w:rPr>
          <w:rFonts w:ascii="Times New Roman" w:eastAsia="Times New Roman" w:hAnsi="Times New Roman" w:cs="Times New Roman"/>
          <w:iCs/>
          <w:color w:val="000000"/>
          <w:sz w:val="24"/>
          <w:szCs w:val="24"/>
          <w:lang w:eastAsia="tr-TR"/>
        </w:rPr>
        <w:t xml:space="preserve"> (a) bendi uyarınca hesaplanması,</w:t>
      </w:r>
    </w:p>
    <w:p w:rsidR="0052568E" w:rsidRPr="000F0455" w:rsidRDefault="0052568E" w:rsidP="0047683A">
      <w:pPr>
        <w:spacing w:after="0" w:line="240" w:lineRule="auto"/>
        <w:ind w:left="1560" w:hanging="709"/>
        <w:jc w:val="both"/>
        <w:rPr>
          <w:rFonts w:ascii="Times New Roman" w:eastAsia="Times New Roman" w:hAnsi="Times New Roman" w:cs="Times New Roman"/>
          <w:iCs/>
          <w:color w:val="000000"/>
          <w:sz w:val="24"/>
          <w:szCs w:val="24"/>
          <w:lang w:eastAsia="tr-TR"/>
        </w:rPr>
      </w:pPr>
    </w:p>
    <w:p w:rsidR="0047683A" w:rsidRPr="000F0455" w:rsidRDefault="0052568E" w:rsidP="0047683A">
      <w:pPr>
        <w:spacing w:after="0" w:line="240" w:lineRule="auto"/>
        <w:ind w:firstLine="567"/>
        <w:jc w:val="both"/>
        <w:rPr>
          <w:rFonts w:ascii="Times New Roman" w:eastAsia="Times New Roman" w:hAnsi="Times New Roman" w:cs="Times New Roman"/>
          <w:iCs/>
          <w:color w:val="000000"/>
          <w:sz w:val="24"/>
          <w:szCs w:val="24"/>
          <w:lang w:eastAsia="tr-TR"/>
        </w:rPr>
      </w:pPr>
      <w:r>
        <w:rPr>
          <w:rFonts w:ascii="Times New Roman" w:eastAsia="Times New Roman" w:hAnsi="Times New Roman" w:cs="Times New Roman"/>
          <w:iCs/>
          <w:color w:val="000000"/>
          <w:sz w:val="24"/>
          <w:szCs w:val="24"/>
          <w:lang w:eastAsia="tr-TR"/>
        </w:rPr>
        <w:t>b)</w:t>
      </w:r>
      <w:r w:rsidR="0047683A" w:rsidRPr="000F0455">
        <w:rPr>
          <w:rFonts w:ascii="Times New Roman" w:eastAsia="Times New Roman" w:hAnsi="Times New Roman" w:cs="Times New Roman"/>
          <w:iCs/>
          <w:color w:val="000000"/>
          <w:sz w:val="24"/>
          <w:szCs w:val="24"/>
          <w:lang w:eastAsia="tr-TR"/>
        </w:rPr>
        <w:t> Valörlü işlemlerde;</w:t>
      </w:r>
    </w:p>
    <w:p w:rsidR="0047683A" w:rsidRPr="000F0455" w:rsidRDefault="0052568E" w:rsidP="0047683A">
      <w:pPr>
        <w:spacing w:after="0" w:line="240" w:lineRule="auto"/>
        <w:ind w:left="1560" w:hanging="709"/>
        <w:jc w:val="both"/>
        <w:rPr>
          <w:rFonts w:ascii="Times New Roman" w:eastAsia="Times New Roman" w:hAnsi="Times New Roman" w:cs="Times New Roman"/>
          <w:iCs/>
          <w:color w:val="000000"/>
          <w:sz w:val="24"/>
          <w:szCs w:val="24"/>
          <w:lang w:eastAsia="tr-TR"/>
        </w:rPr>
      </w:pPr>
      <w:r>
        <w:rPr>
          <w:rFonts w:ascii="Times New Roman" w:eastAsia="Times New Roman" w:hAnsi="Times New Roman" w:cs="Times New Roman"/>
          <w:iCs/>
          <w:color w:val="000000"/>
          <w:sz w:val="24"/>
          <w:szCs w:val="24"/>
          <w:lang w:eastAsia="tr-TR"/>
        </w:rPr>
        <w:t>i</w:t>
      </w:r>
      <w:r w:rsidR="0047683A" w:rsidRPr="000F0455">
        <w:rPr>
          <w:rFonts w:ascii="Times New Roman" w:eastAsia="Times New Roman" w:hAnsi="Times New Roman" w:cs="Times New Roman"/>
          <w:iCs/>
          <w:color w:val="000000"/>
          <w:sz w:val="24"/>
          <w:szCs w:val="24"/>
          <w:lang w:eastAsia="tr-TR"/>
        </w:rPr>
        <w:t>.</w:t>
      </w:r>
      <w:r w:rsidR="0047683A">
        <w:rPr>
          <w:rFonts w:ascii="Times New Roman" w:eastAsia="Times New Roman" w:hAnsi="Times New Roman" w:cs="Times New Roman"/>
          <w:iCs/>
          <w:color w:val="000000"/>
          <w:sz w:val="24"/>
          <w:szCs w:val="24"/>
          <w:lang w:eastAsia="tr-TR"/>
        </w:rPr>
        <w:t>  </w:t>
      </w:r>
      <w:r w:rsidR="009D3E3B">
        <w:rPr>
          <w:rFonts w:ascii="Times New Roman" w:eastAsia="Times New Roman" w:hAnsi="Times New Roman" w:cs="Times New Roman"/>
          <w:iCs/>
          <w:color w:val="000000"/>
          <w:sz w:val="24"/>
          <w:szCs w:val="24"/>
          <w:lang w:eastAsia="tr-TR"/>
        </w:rPr>
        <w:t xml:space="preserve">       BİAŞ’ın</w:t>
      </w:r>
      <w:r w:rsidR="0047683A" w:rsidRPr="000F0455">
        <w:rPr>
          <w:rFonts w:ascii="Times New Roman" w:eastAsia="Times New Roman" w:hAnsi="Times New Roman" w:cs="Times New Roman"/>
          <w:iCs/>
          <w:color w:val="000000"/>
          <w:sz w:val="24"/>
          <w:szCs w:val="24"/>
          <w:lang w:eastAsia="tr-TR"/>
        </w:rPr>
        <w:t xml:space="preserve"> Günlük Bülteni’nde ilgili valörlü USD/ons</w:t>
      </w:r>
      <w:r w:rsidR="009E10B8">
        <w:rPr>
          <w:rFonts w:ascii="Times New Roman" w:eastAsia="Times New Roman" w:hAnsi="Times New Roman" w:cs="Times New Roman"/>
          <w:iCs/>
          <w:color w:val="000000"/>
          <w:sz w:val="24"/>
          <w:szCs w:val="24"/>
          <w:lang w:eastAsia="tr-TR"/>
        </w:rPr>
        <w:t xml:space="preserve"> </w:t>
      </w:r>
      <w:r w:rsidR="0047683A" w:rsidRPr="000F0455">
        <w:rPr>
          <w:rFonts w:ascii="Times New Roman" w:eastAsia="Times New Roman" w:hAnsi="Times New Roman" w:cs="Times New Roman"/>
          <w:iCs/>
          <w:color w:val="000000"/>
          <w:sz w:val="24"/>
          <w:szCs w:val="24"/>
          <w:lang w:eastAsia="tr-TR"/>
        </w:rPr>
        <w:t>[(T+1) ilâ (T+9)] </w:t>
      </w:r>
      <w:r w:rsidR="005F33EE">
        <w:rPr>
          <w:rFonts w:ascii="Times New Roman" w:eastAsia="Times New Roman" w:hAnsi="Times New Roman" w:cs="Times New Roman"/>
          <w:iCs/>
          <w:color w:val="000000"/>
          <w:sz w:val="24"/>
          <w:szCs w:val="24"/>
          <w:lang w:eastAsia="tr-TR"/>
        </w:rPr>
        <w:t>veya diğer para birimlerinden gerçekleştirilen</w:t>
      </w:r>
      <w:r w:rsidR="005F33EE" w:rsidRPr="000F0455">
        <w:rPr>
          <w:rFonts w:ascii="Times New Roman" w:eastAsia="Times New Roman" w:hAnsi="Times New Roman" w:cs="Times New Roman"/>
          <w:iCs/>
          <w:color w:val="000000"/>
          <w:sz w:val="24"/>
          <w:szCs w:val="24"/>
          <w:lang w:eastAsia="tr-TR"/>
        </w:rPr>
        <w:t xml:space="preserve">  </w:t>
      </w:r>
      <w:r w:rsidR="0047683A" w:rsidRPr="000F0455">
        <w:rPr>
          <w:rFonts w:ascii="Times New Roman" w:eastAsia="Times New Roman" w:hAnsi="Times New Roman" w:cs="Times New Roman"/>
          <w:iCs/>
          <w:color w:val="000000"/>
          <w:sz w:val="24"/>
          <w:szCs w:val="24"/>
          <w:lang w:eastAsia="tr-TR"/>
        </w:rPr>
        <w:t>işlemler için açıklanan ağırlıklı ortalama fiyatın kullanılması,</w:t>
      </w:r>
    </w:p>
    <w:p w:rsidR="0047683A" w:rsidRPr="000F0455" w:rsidRDefault="0052568E" w:rsidP="0047683A">
      <w:pPr>
        <w:spacing w:after="0" w:line="240" w:lineRule="auto"/>
        <w:ind w:left="1560" w:hanging="709"/>
        <w:jc w:val="both"/>
        <w:rPr>
          <w:rFonts w:ascii="Times New Roman" w:eastAsia="Times New Roman" w:hAnsi="Times New Roman" w:cs="Times New Roman"/>
          <w:iCs/>
          <w:color w:val="000000"/>
          <w:sz w:val="24"/>
          <w:szCs w:val="24"/>
          <w:lang w:eastAsia="tr-TR"/>
        </w:rPr>
      </w:pPr>
      <w:r>
        <w:rPr>
          <w:rFonts w:ascii="Times New Roman" w:eastAsia="Times New Roman" w:hAnsi="Times New Roman" w:cs="Times New Roman"/>
          <w:iCs/>
          <w:color w:val="000000"/>
          <w:sz w:val="24"/>
          <w:szCs w:val="24"/>
          <w:lang w:eastAsia="tr-TR"/>
        </w:rPr>
        <w:t>ii</w:t>
      </w:r>
      <w:r w:rsidR="0047683A" w:rsidRPr="000F0455">
        <w:rPr>
          <w:rFonts w:ascii="Times New Roman" w:eastAsia="Times New Roman" w:hAnsi="Times New Roman" w:cs="Times New Roman"/>
          <w:iCs/>
          <w:color w:val="000000"/>
          <w:sz w:val="24"/>
          <w:szCs w:val="24"/>
          <w:lang w:eastAsia="tr-TR"/>
        </w:rPr>
        <w:t xml:space="preserve">.        Söz konusu işlemlerin portföye alımında alış fiyatının, alım tarihinden başlamak üzere ise </w:t>
      </w:r>
      <w:r w:rsidR="0047683A">
        <w:rPr>
          <w:rFonts w:ascii="Times New Roman" w:eastAsia="Times New Roman" w:hAnsi="Times New Roman" w:cs="Times New Roman"/>
          <w:iCs/>
          <w:color w:val="000000"/>
          <w:sz w:val="24"/>
          <w:szCs w:val="24"/>
          <w:lang w:eastAsia="tr-TR"/>
        </w:rPr>
        <w:t>Borsa İstanbul’da</w:t>
      </w:r>
      <w:r w:rsidR="0047683A" w:rsidRPr="000F0455">
        <w:rPr>
          <w:rFonts w:ascii="Times New Roman" w:eastAsia="Times New Roman" w:hAnsi="Times New Roman" w:cs="Times New Roman"/>
          <w:iCs/>
          <w:color w:val="000000"/>
          <w:sz w:val="24"/>
          <w:szCs w:val="24"/>
          <w:lang w:eastAsia="tr-TR"/>
        </w:rPr>
        <w:t xml:space="preserve"> değerleme günü itibariyle oluşan fiyatlarının; </w:t>
      </w:r>
      <w:r w:rsidR="0047683A">
        <w:rPr>
          <w:rFonts w:ascii="Times New Roman" w:eastAsia="Times New Roman" w:hAnsi="Times New Roman" w:cs="Times New Roman"/>
          <w:iCs/>
          <w:color w:val="000000"/>
          <w:sz w:val="24"/>
          <w:szCs w:val="24"/>
          <w:lang w:eastAsia="tr-TR"/>
        </w:rPr>
        <w:t xml:space="preserve">Finansal Raporlama </w:t>
      </w:r>
      <w:r w:rsidR="0047683A" w:rsidRPr="000F0455">
        <w:rPr>
          <w:rFonts w:ascii="Times New Roman" w:eastAsia="Times New Roman" w:hAnsi="Times New Roman" w:cs="Times New Roman"/>
          <w:iCs/>
          <w:color w:val="000000"/>
          <w:sz w:val="24"/>
          <w:szCs w:val="24"/>
          <w:lang w:eastAsia="tr-TR"/>
        </w:rPr>
        <w:t>Tebliğ</w:t>
      </w:r>
      <w:r w:rsidR="0047683A">
        <w:rPr>
          <w:rFonts w:ascii="Times New Roman" w:eastAsia="Times New Roman" w:hAnsi="Times New Roman" w:cs="Times New Roman"/>
          <w:iCs/>
          <w:color w:val="000000"/>
          <w:sz w:val="24"/>
          <w:szCs w:val="24"/>
          <w:lang w:eastAsia="tr-TR"/>
        </w:rPr>
        <w:t>i</w:t>
      </w:r>
      <w:r w:rsidR="0047683A" w:rsidRPr="000F0455">
        <w:rPr>
          <w:rFonts w:ascii="Times New Roman" w:eastAsia="Times New Roman" w:hAnsi="Times New Roman" w:cs="Times New Roman"/>
          <w:iCs/>
          <w:color w:val="000000"/>
          <w:sz w:val="24"/>
          <w:szCs w:val="24"/>
          <w:lang w:eastAsia="tr-TR"/>
        </w:rPr>
        <w:t>’</w:t>
      </w:r>
      <w:r w:rsidR="0047683A">
        <w:rPr>
          <w:rFonts w:ascii="Times New Roman" w:eastAsia="Times New Roman" w:hAnsi="Times New Roman" w:cs="Times New Roman"/>
          <w:iCs/>
          <w:color w:val="000000"/>
          <w:sz w:val="24"/>
          <w:szCs w:val="24"/>
          <w:lang w:eastAsia="tr-TR"/>
        </w:rPr>
        <w:t>n</w:t>
      </w:r>
      <w:r w:rsidR="0047683A" w:rsidRPr="000F0455">
        <w:rPr>
          <w:rFonts w:ascii="Times New Roman" w:eastAsia="Times New Roman" w:hAnsi="Times New Roman" w:cs="Times New Roman"/>
          <w:iCs/>
          <w:color w:val="000000"/>
          <w:sz w:val="24"/>
          <w:szCs w:val="24"/>
          <w:lang w:eastAsia="tr-TR"/>
        </w:rPr>
        <w:t xml:space="preserve">in </w:t>
      </w:r>
      <w:r w:rsidR="0047683A">
        <w:rPr>
          <w:rFonts w:ascii="Times New Roman" w:eastAsia="Times New Roman" w:hAnsi="Times New Roman" w:cs="Times New Roman"/>
          <w:iCs/>
          <w:color w:val="000000"/>
          <w:sz w:val="24"/>
          <w:szCs w:val="24"/>
          <w:lang w:eastAsia="tr-TR"/>
        </w:rPr>
        <w:t>9</w:t>
      </w:r>
      <w:r w:rsidR="0047683A" w:rsidRPr="000F0455">
        <w:rPr>
          <w:rFonts w:ascii="Times New Roman" w:eastAsia="Times New Roman" w:hAnsi="Times New Roman" w:cs="Times New Roman"/>
          <w:iCs/>
          <w:color w:val="000000"/>
          <w:sz w:val="24"/>
          <w:szCs w:val="24"/>
          <w:lang w:eastAsia="tr-TR"/>
        </w:rPr>
        <w:t xml:space="preserve">. </w:t>
      </w:r>
      <w:r w:rsidR="0047683A">
        <w:rPr>
          <w:rFonts w:ascii="Times New Roman" w:eastAsia="Times New Roman" w:hAnsi="Times New Roman" w:cs="Times New Roman"/>
          <w:iCs/>
          <w:color w:val="000000"/>
          <w:sz w:val="24"/>
          <w:szCs w:val="24"/>
          <w:lang w:eastAsia="tr-TR"/>
        </w:rPr>
        <w:t>m</w:t>
      </w:r>
      <w:r w:rsidR="0047683A" w:rsidRPr="000F0455">
        <w:rPr>
          <w:rFonts w:ascii="Times New Roman" w:eastAsia="Times New Roman" w:hAnsi="Times New Roman" w:cs="Times New Roman"/>
          <w:iCs/>
          <w:color w:val="000000"/>
          <w:sz w:val="24"/>
          <w:szCs w:val="24"/>
          <w:lang w:eastAsia="tr-TR"/>
        </w:rPr>
        <w:t>addesinin</w:t>
      </w:r>
      <w:r w:rsidR="0047683A">
        <w:rPr>
          <w:rFonts w:ascii="Times New Roman" w:eastAsia="Times New Roman" w:hAnsi="Times New Roman" w:cs="Times New Roman"/>
          <w:iCs/>
          <w:color w:val="000000"/>
          <w:sz w:val="24"/>
          <w:szCs w:val="24"/>
          <w:lang w:eastAsia="tr-TR"/>
        </w:rPr>
        <w:t xml:space="preserve"> birinci fıkrasının</w:t>
      </w:r>
      <w:r w:rsidR="0047683A" w:rsidRPr="000F0455">
        <w:rPr>
          <w:rFonts w:ascii="Times New Roman" w:eastAsia="Times New Roman" w:hAnsi="Times New Roman" w:cs="Times New Roman"/>
          <w:iCs/>
          <w:color w:val="000000"/>
          <w:sz w:val="24"/>
          <w:szCs w:val="24"/>
          <w:lang w:eastAsia="tr-TR"/>
        </w:rPr>
        <w:t xml:space="preserve"> (a) bendi uyarınca hesaplanması,</w:t>
      </w:r>
    </w:p>
    <w:p w:rsidR="0052568E" w:rsidRDefault="0052568E" w:rsidP="0047683A">
      <w:pPr>
        <w:spacing w:after="0" w:line="240" w:lineRule="auto"/>
        <w:ind w:left="1560" w:hanging="709"/>
        <w:jc w:val="both"/>
        <w:rPr>
          <w:rFonts w:ascii="Times New Roman" w:eastAsia="Times New Roman" w:hAnsi="Times New Roman" w:cs="Times New Roman"/>
          <w:iCs/>
          <w:color w:val="000000"/>
          <w:sz w:val="24"/>
          <w:szCs w:val="24"/>
          <w:lang w:eastAsia="tr-TR"/>
        </w:rPr>
      </w:pPr>
      <w:r>
        <w:rPr>
          <w:rFonts w:ascii="Times New Roman" w:eastAsia="Times New Roman" w:hAnsi="Times New Roman" w:cs="Times New Roman"/>
          <w:iCs/>
          <w:color w:val="000000"/>
          <w:sz w:val="24"/>
          <w:szCs w:val="24"/>
          <w:lang w:eastAsia="tr-TR"/>
        </w:rPr>
        <w:t xml:space="preserve">iii.     </w:t>
      </w:r>
      <w:r w:rsidR="0094603F">
        <w:rPr>
          <w:rFonts w:ascii="Times New Roman" w:eastAsia="Times New Roman" w:hAnsi="Times New Roman" w:cs="Times New Roman"/>
          <w:iCs/>
          <w:color w:val="000000"/>
          <w:sz w:val="24"/>
          <w:szCs w:val="24"/>
          <w:lang w:eastAsia="tr-TR"/>
        </w:rPr>
        <w:t xml:space="preserve">Değerlemenin bu Rehber’in (5.3.) nolu bölümünün </w:t>
      </w:r>
      <w:r w:rsidR="00B55128">
        <w:rPr>
          <w:rFonts w:ascii="Times New Roman" w:eastAsia="Times New Roman" w:hAnsi="Times New Roman" w:cs="Times New Roman"/>
          <w:iCs/>
          <w:color w:val="000000"/>
          <w:sz w:val="24"/>
          <w:szCs w:val="24"/>
          <w:lang w:eastAsia="tr-TR"/>
        </w:rPr>
        <w:t>(</w:t>
      </w:r>
      <w:r w:rsidR="0094603F">
        <w:rPr>
          <w:rFonts w:ascii="Times New Roman" w:eastAsia="Times New Roman" w:hAnsi="Times New Roman" w:cs="Times New Roman"/>
          <w:iCs/>
          <w:color w:val="000000"/>
          <w:sz w:val="24"/>
          <w:szCs w:val="24"/>
          <w:lang w:eastAsia="tr-TR"/>
        </w:rPr>
        <w:t>a</w:t>
      </w:r>
      <w:r w:rsidR="00B55128">
        <w:rPr>
          <w:rFonts w:ascii="Times New Roman" w:eastAsia="Times New Roman" w:hAnsi="Times New Roman" w:cs="Times New Roman"/>
          <w:iCs/>
          <w:color w:val="000000"/>
          <w:sz w:val="24"/>
          <w:szCs w:val="24"/>
          <w:lang w:eastAsia="tr-TR"/>
        </w:rPr>
        <w:t>)</w:t>
      </w:r>
      <w:r w:rsidR="0094603F">
        <w:rPr>
          <w:rFonts w:ascii="Times New Roman" w:eastAsia="Times New Roman" w:hAnsi="Times New Roman" w:cs="Times New Roman"/>
          <w:iCs/>
          <w:color w:val="000000"/>
          <w:sz w:val="24"/>
          <w:szCs w:val="24"/>
          <w:lang w:eastAsia="tr-TR"/>
        </w:rPr>
        <w:t xml:space="preserve"> ve </w:t>
      </w:r>
      <w:r w:rsidR="00B55128">
        <w:rPr>
          <w:rFonts w:ascii="Times New Roman" w:eastAsia="Times New Roman" w:hAnsi="Times New Roman" w:cs="Times New Roman"/>
          <w:iCs/>
          <w:color w:val="000000"/>
          <w:sz w:val="24"/>
          <w:szCs w:val="24"/>
          <w:lang w:eastAsia="tr-TR"/>
        </w:rPr>
        <w:t>(</w:t>
      </w:r>
      <w:r w:rsidR="0094603F">
        <w:rPr>
          <w:rFonts w:ascii="Times New Roman" w:eastAsia="Times New Roman" w:hAnsi="Times New Roman" w:cs="Times New Roman"/>
          <w:iCs/>
          <w:color w:val="000000"/>
          <w:sz w:val="24"/>
          <w:szCs w:val="24"/>
          <w:lang w:eastAsia="tr-TR"/>
        </w:rPr>
        <w:t>b</w:t>
      </w:r>
      <w:r w:rsidR="00B55128">
        <w:rPr>
          <w:rFonts w:ascii="Times New Roman" w:eastAsia="Times New Roman" w:hAnsi="Times New Roman" w:cs="Times New Roman"/>
          <w:iCs/>
          <w:color w:val="000000"/>
          <w:sz w:val="24"/>
          <w:szCs w:val="24"/>
          <w:lang w:eastAsia="tr-TR"/>
        </w:rPr>
        <w:t>)</w:t>
      </w:r>
      <w:r w:rsidR="0094603F">
        <w:rPr>
          <w:rFonts w:ascii="Times New Roman" w:eastAsia="Times New Roman" w:hAnsi="Times New Roman" w:cs="Times New Roman"/>
          <w:iCs/>
          <w:color w:val="000000"/>
          <w:sz w:val="24"/>
          <w:szCs w:val="24"/>
          <w:lang w:eastAsia="tr-TR"/>
        </w:rPr>
        <w:t xml:space="preserve"> bentleri uyarınca yapılması</w:t>
      </w:r>
    </w:p>
    <w:p w:rsidR="0052568E" w:rsidRDefault="0052568E" w:rsidP="0047683A">
      <w:pPr>
        <w:spacing w:after="0" w:line="240" w:lineRule="auto"/>
        <w:ind w:left="1560" w:hanging="709"/>
        <w:jc w:val="both"/>
        <w:rPr>
          <w:rFonts w:ascii="Times New Roman" w:eastAsia="Times New Roman" w:hAnsi="Times New Roman" w:cs="Times New Roman"/>
          <w:iCs/>
          <w:color w:val="000000"/>
          <w:sz w:val="24"/>
          <w:szCs w:val="24"/>
          <w:lang w:eastAsia="tr-TR"/>
        </w:rPr>
      </w:pPr>
    </w:p>
    <w:p w:rsidR="00B55128" w:rsidRDefault="0094603F" w:rsidP="0047683A">
      <w:pPr>
        <w:spacing w:after="0" w:line="240" w:lineRule="auto"/>
        <w:ind w:left="1560" w:hanging="709"/>
        <w:jc w:val="both"/>
        <w:rPr>
          <w:rFonts w:ascii="Times New Roman" w:eastAsia="Times New Roman" w:hAnsi="Times New Roman" w:cs="Times New Roman"/>
          <w:iCs/>
          <w:color w:val="000000"/>
          <w:sz w:val="24"/>
          <w:szCs w:val="24"/>
          <w:lang w:eastAsia="tr-TR"/>
        </w:rPr>
      </w:pPr>
      <w:r>
        <w:rPr>
          <w:rFonts w:ascii="Times New Roman" w:eastAsia="Times New Roman" w:hAnsi="Times New Roman" w:cs="Times New Roman"/>
          <w:iCs/>
          <w:color w:val="000000"/>
          <w:sz w:val="24"/>
          <w:szCs w:val="24"/>
          <w:lang w:eastAsia="tr-TR"/>
        </w:rPr>
        <w:t xml:space="preserve"> gerekmektedir. </w:t>
      </w:r>
    </w:p>
    <w:p w:rsidR="00B55128" w:rsidRDefault="00B55128" w:rsidP="00B55128">
      <w:pPr>
        <w:spacing w:after="0" w:line="240" w:lineRule="auto"/>
        <w:jc w:val="both"/>
        <w:rPr>
          <w:rFonts w:ascii="Times New Roman" w:eastAsia="Times New Roman" w:hAnsi="Times New Roman" w:cs="Times New Roman"/>
          <w:iCs/>
          <w:color w:val="000000"/>
          <w:sz w:val="24"/>
          <w:szCs w:val="24"/>
          <w:lang w:eastAsia="tr-TR"/>
        </w:rPr>
      </w:pPr>
    </w:p>
    <w:p w:rsidR="00B55128" w:rsidRDefault="00B55128" w:rsidP="00B55128">
      <w:pPr>
        <w:pStyle w:val="Heading2"/>
        <w:rPr>
          <w:rFonts w:eastAsia="Times New Roman"/>
          <w:lang w:eastAsia="tr-TR"/>
        </w:rPr>
      </w:pPr>
      <w:bookmarkStart w:id="179" w:name="_Toc130312574"/>
      <w:bookmarkStart w:id="180" w:name="_Toc130312707"/>
      <w:r>
        <w:rPr>
          <w:rFonts w:eastAsia="Times New Roman"/>
          <w:lang w:eastAsia="tr-TR"/>
        </w:rPr>
        <w:t>5.5. Vadeli İşlem Sözleşmelerinin Değerleme Esasları</w:t>
      </w:r>
      <w:bookmarkEnd w:id="179"/>
      <w:bookmarkEnd w:id="180"/>
    </w:p>
    <w:p w:rsidR="00B55128" w:rsidRDefault="00B55128" w:rsidP="00B55128">
      <w:pPr>
        <w:spacing w:after="0" w:line="240" w:lineRule="auto"/>
        <w:jc w:val="both"/>
        <w:rPr>
          <w:rFonts w:ascii="Times New Roman" w:eastAsia="Times New Roman" w:hAnsi="Times New Roman" w:cs="Times New Roman"/>
          <w:iCs/>
          <w:color w:val="000000"/>
          <w:sz w:val="24"/>
          <w:szCs w:val="24"/>
          <w:lang w:eastAsia="tr-TR"/>
        </w:rPr>
      </w:pPr>
    </w:p>
    <w:p w:rsidR="00B55128" w:rsidRPr="00B55128" w:rsidRDefault="00B55128" w:rsidP="00B55128">
      <w:pPr>
        <w:spacing w:after="0" w:line="240" w:lineRule="auto"/>
        <w:ind w:left="993" w:hanging="285"/>
        <w:jc w:val="both"/>
        <w:rPr>
          <w:rFonts w:ascii="Times New Roman" w:eastAsia="Times New Roman" w:hAnsi="Times New Roman" w:cs="Times New Roman"/>
          <w:iCs/>
          <w:color w:val="000000"/>
          <w:sz w:val="24"/>
          <w:szCs w:val="24"/>
          <w:lang w:eastAsia="tr-TR"/>
        </w:rPr>
      </w:pPr>
      <w:r>
        <w:rPr>
          <w:rFonts w:ascii="Times New Roman" w:eastAsia="Times New Roman" w:hAnsi="Times New Roman" w:cs="Times New Roman"/>
          <w:iCs/>
          <w:color w:val="000000"/>
          <w:sz w:val="24"/>
          <w:szCs w:val="24"/>
          <w:lang w:eastAsia="tr-TR"/>
        </w:rPr>
        <w:t xml:space="preserve">a) </w:t>
      </w:r>
      <w:r w:rsidRPr="00B55128">
        <w:rPr>
          <w:rFonts w:ascii="Times New Roman" w:eastAsia="Times New Roman" w:hAnsi="Times New Roman" w:cs="Times New Roman"/>
          <w:iCs/>
          <w:color w:val="000000"/>
          <w:sz w:val="24"/>
          <w:szCs w:val="24"/>
          <w:lang w:eastAsia="tr-TR"/>
        </w:rPr>
        <w:t xml:space="preserve">Vadeli işlem sözleşmeleri nedeniyle teminat olarak verilen varlıklar portföy </w:t>
      </w:r>
      <w:r w:rsidR="008447AB">
        <w:rPr>
          <w:rFonts w:ascii="Times New Roman" w:eastAsia="Times New Roman" w:hAnsi="Times New Roman" w:cs="Times New Roman"/>
          <w:iCs/>
          <w:color w:val="000000"/>
          <w:sz w:val="24"/>
          <w:szCs w:val="24"/>
          <w:lang w:eastAsia="tr-TR"/>
        </w:rPr>
        <w:t xml:space="preserve">değeri </w:t>
      </w:r>
      <w:r w:rsidRPr="00B55128">
        <w:rPr>
          <w:rFonts w:ascii="Times New Roman" w:eastAsia="Times New Roman" w:hAnsi="Times New Roman" w:cs="Times New Roman"/>
          <w:iCs/>
          <w:color w:val="000000"/>
          <w:sz w:val="24"/>
          <w:szCs w:val="24"/>
          <w:lang w:eastAsia="tr-TR"/>
        </w:rPr>
        <w:t>tablosundan çıkarılmadan aynı şekilde değerlenmeye devam edilmelidir.</w:t>
      </w:r>
    </w:p>
    <w:p w:rsidR="00B55128" w:rsidRDefault="00B55128" w:rsidP="00B55128">
      <w:pPr>
        <w:spacing w:after="0" w:line="240" w:lineRule="auto"/>
        <w:ind w:left="993" w:hanging="285"/>
        <w:jc w:val="both"/>
        <w:rPr>
          <w:rFonts w:ascii="Times New Roman" w:eastAsia="Times New Roman" w:hAnsi="Times New Roman" w:cs="Times New Roman"/>
          <w:iCs/>
          <w:color w:val="000000"/>
          <w:sz w:val="24"/>
          <w:szCs w:val="24"/>
          <w:lang w:eastAsia="tr-TR"/>
        </w:rPr>
      </w:pPr>
    </w:p>
    <w:p w:rsidR="00B55128" w:rsidRPr="00B55128" w:rsidRDefault="00B55128" w:rsidP="00B55128">
      <w:pPr>
        <w:spacing w:after="0" w:line="240" w:lineRule="auto"/>
        <w:ind w:left="993" w:hanging="285"/>
        <w:jc w:val="both"/>
        <w:rPr>
          <w:rFonts w:ascii="Times New Roman" w:eastAsia="Times New Roman" w:hAnsi="Times New Roman" w:cs="Times New Roman"/>
          <w:iCs/>
          <w:color w:val="000000"/>
          <w:sz w:val="24"/>
          <w:szCs w:val="24"/>
          <w:lang w:eastAsia="tr-TR"/>
        </w:rPr>
      </w:pPr>
      <w:r>
        <w:rPr>
          <w:rFonts w:ascii="Times New Roman" w:eastAsia="Times New Roman" w:hAnsi="Times New Roman" w:cs="Times New Roman"/>
          <w:iCs/>
          <w:color w:val="000000"/>
          <w:sz w:val="24"/>
          <w:szCs w:val="24"/>
          <w:lang w:eastAsia="tr-TR"/>
        </w:rPr>
        <w:t xml:space="preserve">b) </w:t>
      </w:r>
      <w:r w:rsidRPr="00B55128">
        <w:rPr>
          <w:rFonts w:ascii="Times New Roman" w:eastAsia="Times New Roman" w:hAnsi="Times New Roman" w:cs="Times New Roman"/>
          <w:iCs/>
          <w:color w:val="000000"/>
          <w:sz w:val="24"/>
          <w:szCs w:val="24"/>
          <w:lang w:eastAsia="tr-TR"/>
        </w:rPr>
        <w:t xml:space="preserve">Vadeli işlem sözleşmelerinde değerleme günü itibariyle oluşan kar veya zarar portföy </w:t>
      </w:r>
      <w:r w:rsidR="008447AB">
        <w:rPr>
          <w:rFonts w:ascii="Times New Roman" w:eastAsia="Times New Roman" w:hAnsi="Times New Roman" w:cs="Times New Roman"/>
          <w:iCs/>
          <w:color w:val="000000"/>
          <w:sz w:val="24"/>
          <w:szCs w:val="24"/>
          <w:lang w:eastAsia="tr-TR"/>
        </w:rPr>
        <w:t xml:space="preserve">değeri </w:t>
      </w:r>
      <w:r w:rsidRPr="00B55128">
        <w:rPr>
          <w:rFonts w:ascii="Times New Roman" w:eastAsia="Times New Roman" w:hAnsi="Times New Roman" w:cs="Times New Roman"/>
          <w:iCs/>
          <w:color w:val="000000"/>
          <w:sz w:val="24"/>
          <w:szCs w:val="24"/>
          <w:lang w:eastAsia="tr-TR"/>
        </w:rPr>
        <w:t>tablosunda yer alan teminatlara eklenir ve düşülür.</w:t>
      </w:r>
    </w:p>
    <w:p w:rsidR="00B55128" w:rsidRDefault="00B55128" w:rsidP="00B55128">
      <w:pPr>
        <w:spacing w:after="0" w:line="240" w:lineRule="auto"/>
        <w:ind w:left="993" w:hanging="285"/>
        <w:jc w:val="both"/>
        <w:rPr>
          <w:rFonts w:ascii="Times New Roman" w:eastAsia="Times New Roman" w:hAnsi="Times New Roman" w:cs="Times New Roman"/>
          <w:iCs/>
          <w:color w:val="000000"/>
          <w:sz w:val="24"/>
          <w:szCs w:val="24"/>
          <w:lang w:eastAsia="tr-TR"/>
        </w:rPr>
      </w:pPr>
    </w:p>
    <w:p w:rsidR="00B55128" w:rsidRPr="00B55128" w:rsidRDefault="00B55128" w:rsidP="00B55128">
      <w:pPr>
        <w:spacing w:after="0" w:line="240" w:lineRule="auto"/>
        <w:ind w:left="993" w:hanging="285"/>
        <w:jc w:val="both"/>
        <w:rPr>
          <w:rFonts w:ascii="Times New Roman" w:eastAsia="Times New Roman" w:hAnsi="Times New Roman" w:cs="Times New Roman"/>
          <w:iCs/>
          <w:color w:val="000000"/>
          <w:sz w:val="24"/>
          <w:szCs w:val="24"/>
          <w:lang w:eastAsia="tr-TR"/>
        </w:rPr>
      </w:pPr>
      <w:r>
        <w:rPr>
          <w:rFonts w:ascii="Times New Roman" w:eastAsia="Times New Roman" w:hAnsi="Times New Roman" w:cs="Times New Roman"/>
          <w:iCs/>
          <w:color w:val="000000"/>
          <w:sz w:val="24"/>
          <w:szCs w:val="24"/>
          <w:lang w:eastAsia="tr-TR"/>
        </w:rPr>
        <w:t xml:space="preserve">c) </w:t>
      </w:r>
      <w:r w:rsidRPr="00B55128">
        <w:rPr>
          <w:rFonts w:ascii="Times New Roman" w:eastAsia="Times New Roman" w:hAnsi="Times New Roman" w:cs="Times New Roman"/>
          <w:iCs/>
          <w:color w:val="000000"/>
          <w:sz w:val="24"/>
          <w:szCs w:val="24"/>
          <w:lang w:eastAsia="tr-TR"/>
        </w:rPr>
        <w:t xml:space="preserve">Vadeli işlem sözleşmeleri nedeniyle oluşan kar ve zarar teminatlarla ilişkilendirileceği için portföy </w:t>
      </w:r>
      <w:r w:rsidR="008447AB">
        <w:rPr>
          <w:rFonts w:ascii="Times New Roman" w:eastAsia="Times New Roman" w:hAnsi="Times New Roman" w:cs="Times New Roman"/>
          <w:iCs/>
          <w:color w:val="000000"/>
          <w:sz w:val="24"/>
          <w:szCs w:val="24"/>
          <w:lang w:eastAsia="tr-TR"/>
        </w:rPr>
        <w:t xml:space="preserve">değeri </w:t>
      </w:r>
      <w:r w:rsidRPr="00B55128">
        <w:rPr>
          <w:rFonts w:ascii="Times New Roman" w:eastAsia="Times New Roman" w:hAnsi="Times New Roman" w:cs="Times New Roman"/>
          <w:iCs/>
          <w:color w:val="000000"/>
          <w:sz w:val="24"/>
          <w:szCs w:val="24"/>
          <w:lang w:eastAsia="tr-TR"/>
        </w:rPr>
        <w:t>tablosunda vadeli işlem sözleşmelerinin değeri sıfır olarak gösterilir.</w:t>
      </w:r>
    </w:p>
    <w:p w:rsidR="00B55128" w:rsidRDefault="00B55128" w:rsidP="00B55128">
      <w:pPr>
        <w:spacing w:after="0" w:line="240" w:lineRule="auto"/>
        <w:ind w:left="993" w:hanging="285"/>
        <w:jc w:val="both"/>
        <w:rPr>
          <w:rFonts w:ascii="Times New Roman" w:eastAsia="Times New Roman" w:hAnsi="Times New Roman" w:cs="Times New Roman"/>
          <w:iCs/>
          <w:color w:val="000000"/>
          <w:sz w:val="24"/>
          <w:szCs w:val="24"/>
          <w:lang w:eastAsia="tr-TR"/>
        </w:rPr>
      </w:pPr>
    </w:p>
    <w:p w:rsidR="0047683A" w:rsidRDefault="00B55128" w:rsidP="00B55128">
      <w:pPr>
        <w:spacing w:after="0" w:line="240" w:lineRule="auto"/>
        <w:ind w:left="993" w:hanging="285"/>
        <w:jc w:val="both"/>
        <w:rPr>
          <w:rFonts w:ascii="Times New Roman" w:eastAsia="Times New Roman" w:hAnsi="Times New Roman" w:cs="Times New Roman"/>
          <w:iCs/>
          <w:color w:val="000000"/>
          <w:sz w:val="24"/>
          <w:szCs w:val="24"/>
          <w:lang w:eastAsia="tr-TR"/>
        </w:rPr>
      </w:pPr>
      <w:r>
        <w:rPr>
          <w:rFonts w:ascii="Times New Roman" w:eastAsia="Times New Roman" w:hAnsi="Times New Roman" w:cs="Times New Roman"/>
          <w:iCs/>
          <w:color w:val="000000"/>
          <w:sz w:val="24"/>
          <w:szCs w:val="24"/>
          <w:lang w:eastAsia="tr-TR"/>
        </w:rPr>
        <w:t xml:space="preserve">d) </w:t>
      </w:r>
      <w:r w:rsidRPr="00B55128">
        <w:rPr>
          <w:rFonts w:ascii="Times New Roman" w:eastAsia="Times New Roman" w:hAnsi="Times New Roman" w:cs="Times New Roman"/>
          <w:iCs/>
          <w:color w:val="000000"/>
          <w:sz w:val="24"/>
          <w:szCs w:val="24"/>
          <w:lang w:eastAsia="tr-TR"/>
        </w:rPr>
        <w:t xml:space="preserve">Portföy </w:t>
      </w:r>
      <w:r w:rsidR="008447AB">
        <w:rPr>
          <w:rFonts w:ascii="Times New Roman" w:eastAsia="Times New Roman" w:hAnsi="Times New Roman" w:cs="Times New Roman"/>
          <w:iCs/>
          <w:color w:val="000000"/>
          <w:sz w:val="24"/>
          <w:szCs w:val="24"/>
          <w:lang w:eastAsia="tr-TR"/>
        </w:rPr>
        <w:t xml:space="preserve">değeri </w:t>
      </w:r>
      <w:r w:rsidRPr="00B55128">
        <w:rPr>
          <w:rFonts w:ascii="Times New Roman" w:eastAsia="Times New Roman" w:hAnsi="Times New Roman" w:cs="Times New Roman"/>
          <w:iCs/>
          <w:color w:val="000000"/>
          <w:sz w:val="24"/>
          <w:szCs w:val="24"/>
          <w:lang w:eastAsia="tr-TR"/>
        </w:rPr>
        <w:t>tablosunda kapatılmamış vadeli işlem sözleşmeleri kısa ve uzun pozisyon başlığı altında gösterilir.</w:t>
      </w:r>
      <w:r w:rsidR="0047683A" w:rsidRPr="000F0455">
        <w:rPr>
          <w:rFonts w:ascii="Times New Roman" w:eastAsia="Times New Roman" w:hAnsi="Times New Roman" w:cs="Times New Roman"/>
          <w:iCs/>
          <w:color w:val="000000"/>
          <w:sz w:val="24"/>
          <w:szCs w:val="24"/>
          <w:lang w:eastAsia="tr-TR"/>
        </w:rPr>
        <w:t xml:space="preserve"> </w:t>
      </w:r>
    </w:p>
    <w:p w:rsidR="00486E02" w:rsidRDefault="00486E02" w:rsidP="00B55128">
      <w:pPr>
        <w:spacing w:after="0" w:line="240" w:lineRule="auto"/>
        <w:ind w:left="993" w:hanging="285"/>
        <w:jc w:val="both"/>
        <w:rPr>
          <w:rFonts w:ascii="Times New Roman" w:eastAsia="Times New Roman" w:hAnsi="Times New Roman" w:cs="Times New Roman"/>
          <w:iCs/>
          <w:color w:val="000000"/>
          <w:sz w:val="24"/>
          <w:szCs w:val="24"/>
          <w:lang w:eastAsia="tr-TR"/>
        </w:rPr>
      </w:pPr>
    </w:p>
    <w:p w:rsidR="00486E02" w:rsidRDefault="00486E02" w:rsidP="00486E02">
      <w:pPr>
        <w:pStyle w:val="Heading2"/>
        <w:spacing w:after="240"/>
        <w:jc w:val="both"/>
      </w:pPr>
      <w:bookmarkStart w:id="181" w:name="_Toc130312575"/>
      <w:bookmarkStart w:id="182" w:name="_Toc130312708"/>
      <w:r>
        <w:t>5</w:t>
      </w:r>
      <w:r w:rsidRPr="00D26A13">
        <w:t>.</w:t>
      </w:r>
      <w:r>
        <w:t>6</w:t>
      </w:r>
      <w:r w:rsidRPr="00D26A13">
        <w:t xml:space="preserve">. </w:t>
      </w:r>
      <w:r>
        <w:t>(Ek:13.06.2016 tarih ve 19/658 sayılı Kurul Kararı ile) Serbest Fonlara İlişkin Değerleme Esasları</w:t>
      </w:r>
      <w:bookmarkEnd w:id="181"/>
      <w:bookmarkEnd w:id="182"/>
    </w:p>
    <w:p w:rsidR="00486E02" w:rsidRPr="00486E02" w:rsidRDefault="00486E02" w:rsidP="00486E02">
      <w:pPr>
        <w:ind w:firstLine="708"/>
        <w:jc w:val="both"/>
        <w:rPr>
          <w:rFonts w:ascii="Times New Roman" w:hAnsi="Times New Roman" w:cs="Times New Roman"/>
          <w:sz w:val="24"/>
          <w:szCs w:val="24"/>
        </w:rPr>
      </w:pPr>
      <w:r w:rsidRPr="00486E02">
        <w:rPr>
          <w:rFonts w:ascii="Times New Roman" w:hAnsi="Times New Roman" w:cs="Times New Roman"/>
          <w:sz w:val="24"/>
          <w:szCs w:val="24"/>
        </w:rPr>
        <w:t xml:space="preserve">Serbest fonlar için, Kurulun onayının alınması şartıyla, fon portföyündeki yabancı para cinsinden olan varlıkların değerlemesinde kullanılacak döviz kuruna ilişkin farklı esaslar belirlenebilir. </w:t>
      </w:r>
    </w:p>
    <w:p w:rsidR="0047683A" w:rsidRPr="000F0455" w:rsidRDefault="0094603F" w:rsidP="0052568E">
      <w:pPr>
        <w:spacing w:after="0" w:line="240" w:lineRule="auto"/>
        <w:ind w:left="2410" w:hanging="1417"/>
        <w:jc w:val="both"/>
        <w:rPr>
          <w:rFonts w:ascii="Times New Roman" w:eastAsia="Times New Roman" w:hAnsi="Times New Roman" w:cs="Times New Roman"/>
          <w:iCs/>
          <w:color w:val="000000"/>
          <w:sz w:val="24"/>
          <w:szCs w:val="24"/>
          <w:lang w:eastAsia="tr-TR"/>
        </w:rPr>
      </w:pPr>
      <w:r>
        <w:rPr>
          <w:rFonts w:ascii="Times New Roman" w:eastAsia="Times New Roman" w:hAnsi="Times New Roman" w:cs="Times New Roman"/>
          <w:iCs/>
          <w:color w:val="000000"/>
          <w:sz w:val="24"/>
          <w:szCs w:val="24"/>
          <w:lang w:eastAsia="tr-TR"/>
        </w:rPr>
        <w:t>         </w:t>
      </w:r>
      <w:r w:rsidR="0052568E">
        <w:rPr>
          <w:rFonts w:ascii="Times New Roman" w:eastAsia="Times New Roman" w:hAnsi="Times New Roman" w:cs="Times New Roman"/>
          <w:iCs/>
          <w:color w:val="000000"/>
          <w:sz w:val="24"/>
          <w:szCs w:val="24"/>
          <w:lang w:eastAsia="tr-TR"/>
        </w:rPr>
        <w:t>      </w:t>
      </w:r>
    </w:p>
    <w:p w:rsidR="001940D5" w:rsidRPr="00092FEE" w:rsidRDefault="009129F5" w:rsidP="00796578">
      <w:pPr>
        <w:pStyle w:val="Heading1"/>
        <w:spacing w:after="240"/>
        <w:rPr>
          <w:rFonts w:eastAsia="Times New Roman" w:cs="Times New Roman"/>
          <w:szCs w:val="24"/>
          <w:lang w:eastAsia="tr-TR"/>
        </w:rPr>
      </w:pPr>
      <w:bookmarkStart w:id="183" w:name="_Toc130312576"/>
      <w:bookmarkStart w:id="184" w:name="_Toc130312709"/>
      <w:r w:rsidRPr="00092FEE">
        <w:rPr>
          <w:rFonts w:eastAsia="Times New Roman" w:cs="Times New Roman"/>
          <w:szCs w:val="24"/>
          <w:lang w:eastAsia="tr-TR"/>
        </w:rPr>
        <w:t>6</w:t>
      </w:r>
      <w:r w:rsidR="001940D5" w:rsidRPr="00092FEE">
        <w:rPr>
          <w:rFonts w:eastAsia="Times New Roman" w:cs="Times New Roman"/>
          <w:szCs w:val="24"/>
          <w:lang w:eastAsia="tr-TR"/>
        </w:rPr>
        <w:t>. Katılma Paylarının Alım-Satımı</w:t>
      </w:r>
      <w:bookmarkEnd w:id="183"/>
      <w:bookmarkEnd w:id="184"/>
    </w:p>
    <w:p w:rsidR="008D3856" w:rsidRDefault="009129F5" w:rsidP="00796578">
      <w:pPr>
        <w:pStyle w:val="Heading2"/>
        <w:spacing w:after="240"/>
      </w:pPr>
      <w:bookmarkStart w:id="185" w:name="_Toc130312577"/>
      <w:bookmarkStart w:id="186" w:name="_Toc130312710"/>
      <w:r>
        <w:t>6</w:t>
      </w:r>
      <w:r w:rsidR="008D3856">
        <w:t xml:space="preserve">.1. </w:t>
      </w:r>
      <w:r w:rsidR="00D41E75">
        <w:t xml:space="preserve">Satılacak </w:t>
      </w:r>
      <w:r w:rsidR="00796578">
        <w:t>Katılma</w:t>
      </w:r>
      <w:r w:rsidR="00AC7EF8">
        <w:t xml:space="preserve"> </w:t>
      </w:r>
      <w:r w:rsidR="00D41E75">
        <w:t>Pay</w:t>
      </w:r>
      <w:r w:rsidR="00796578">
        <w:t>ı</w:t>
      </w:r>
      <w:r w:rsidR="00D41E75">
        <w:t xml:space="preserve"> Adedine</w:t>
      </w:r>
      <w:r w:rsidR="008D3856">
        <w:t xml:space="preserve"> İlişkin Üst Limit B</w:t>
      </w:r>
      <w:r w:rsidR="008D3856" w:rsidRPr="00676C87">
        <w:t>elirlen</w:t>
      </w:r>
      <w:r w:rsidR="008D3856">
        <w:t>mesi</w:t>
      </w:r>
      <w:bookmarkEnd w:id="185"/>
      <w:bookmarkEnd w:id="186"/>
    </w:p>
    <w:p w:rsidR="00FF12FF" w:rsidRDefault="008D3856" w:rsidP="004E408F">
      <w:pPr>
        <w:ind w:firstLine="708"/>
        <w:jc w:val="both"/>
        <w:rPr>
          <w:rFonts w:ascii="Times New Roman" w:hAnsi="Times New Roman" w:cs="Times New Roman"/>
          <w:sz w:val="24"/>
          <w:szCs w:val="24"/>
        </w:rPr>
      </w:pPr>
      <w:r>
        <w:rPr>
          <w:rFonts w:ascii="Times New Roman" w:hAnsi="Times New Roman" w:cs="Times New Roman"/>
          <w:sz w:val="24"/>
          <w:szCs w:val="24"/>
        </w:rPr>
        <w:t>Aşağıda yer verilen</w:t>
      </w:r>
      <w:r w:rsidR="003311D9">
        <w:rPr>
          <w:rFonts w:ascii="Times New Roman" w:hAnsi="Times New Roman" w:cs="Times New Roman"/>
          <w:sz w:val="24"/>
          <w:szCs w:val="24"/>
        </w:rPr>
        <w:t xml:space="preserve"> </w:t>
      </w:r>
      <w:r>
        <w:rPr>
          <w:rFonts w:ascii="Times New Roman" w:hAnsi="Times New Roman" w:cs="Times New Roman"/>
          <w:sz w:val="24"/>
          <w:szCs w:val="24"/>
        </w:rPr>
        <w:t xml:space="preserve">esaslar çerçevesinde ve Kurulca uygun görülmesi kaydıyla, </w:t>
      </w:r>
      <w:r w:rsidR="00796578">
        <w:rPr>
          <w:rFonts w:ascii="Times New Roman" w:hAnsi="Times New Roman" w:cs="Times New Roman"/>
          <w:sz w:val="24"/>
          <w:szCs w:val="24"/>
        </w:rPr>
        <w:t xml:space="preserve">bir fonun </w:t>
      </w:r>
      <w:r>
        <w:rPr>
          <w:rFonts w:ascii="Times New Roman" w:hAnsi="Times New Roman" w:cs="Times New Roman"/>
          <w:sz w:val="24"/>
          <w:szCs w:val="24"/>
        </w:rPr>
        <w:t xml:space="preserve">katılma paylarının ihracına ilişkin izahnamenin onaylanması talebiyle Kurul’a yapılan başvurularda </w:t>
      </w:r>
      <w:r w:rsidR="00263174">
        <w:rPr>
          <w:rFonts w:ascii="Times New Roman" w:hAnsi="Times New Roman" w:cs="Times New Roman"/>
          <w:sz w:val="24"/>
          <w:szCs w:val="24"/>
        </w:rPr>
        <w:t xml:space="preserve">satılabilecek </w:t>
      </w:r>
      <w:r w:rsidR="00796578">
        <w:rPr>
          <w:rFonts w:ascii="Times New Roman" w:hAnsi="Times New Roman" w:cs="Times New Roman"/>
          <w:sz w:val="24"/>
          <w:szCs w:val="24"/>
        </w:rPr>
        <w:t>katılma</w:t>
      </w:r>
      <w:r w:rsidR="00BE24EC">
        <w:rPr>
          <w:rFonts w:ascii="Times New Roman" w:hAnsi="Times New Roman" w:cs="Times New Roman"/>
          <w:sz w:val="24"/>
          <w:szCs w:val="24"/>
        </w:rPr>
        <w:t xml:space="preserve"> </w:t>
      </w:r>
      <w:r w:rsidR="00263174">
        <w:rPr>
          <w:rFonts w:ascii="Times New Roman" w:hAnsi="Times New Roman" w:cs="Times New Roman"/>
          <w:sz w:val="24"/>
          <w:szCs w:val="24"/>
        </w:rPr>
        <w:t>pay</w:t>
      </w:r>
      <w:r w:rsidR="00796578">
        <w:rPr>
          <w:rFonts w:ascii="Times New Roman" w:hAnsi="Times New Roman" w:cs="Times New Roman"/>
          <w:sz w:val="24"/>
          <w:szCs w:val="24"/>
        </w:rPr>
        <w:t>ı</w:t>
      </w:r>
      <w:r w:rsidR="00263174">
        <w:rPr>
          <w:rFonts w:ascii="Times New Roman" w:hAnsi="Times New Roman" w:cs="Times New Roman"/>
          <w:sz w:val="24"/>
          <w:szCs w:val="24"/>
        </w:rPr>
        <w:t xml:space="preserve"> adedine</w:t>
      </w:r>
      <w:r w:rsidRPr="00676C87">
        <w:rPr>
          <w:rFonts w:ascii="Times New Roman" w:hAnsi="Times New Roman" w:cs="Times New Roman"/>
          <w:sz w:val="24"/>
          <w:szCs w:val="24"/>
        </w:rPr>
        <w:t xml:space="preserve"> ilişkin bir üst limit belirlenmesi mümkündür.</w:t>
      </w:r>
    </w:p>
    <w:p w:rsidR="008D3856" w:rsidRDefault="008D3856" w:rsidP="004E408F">
      <w:pPr>
        <w:ind w:firstLine="708"/>
        <w:jc w:val="both"/>
        <w:rPr>
          <w:rFonts w:ascii="Times New Roman" w:hAnsi="Times New Roman" w:cs="Times New Roman"/>
          <w:sz w:val="24"/>
          <w:szCs w:val="24"/>
        </w:rPr>
      </w:pPr>
      <w:r>
        <w:rPr>
          <w:rFonts w:ascii="Times New Roman" w:hAnsi="Times New Roman" w:cs="Times New Roman"/>
          <w:sz w:val="24"/>
          <w:szCs w:val="24"/>
        </w:rPr>
        <w:t>Bu kapsamda;</w:t>
      </w:r>
    </w:p>
    <w:p w:rsidR="008D3856" w:rsidRPr="00676C87" w:rsidRDefault="00796578" w:rsidP="0006161B">
      <w:pPr>
        <w:pStyle w:val="ListParagraph"/>
        <w:numPr>
          <w:ilvl w:val="0"/>
          <w:numId w:val="43"/>
        </w:numPr>
        <w:spacing w:line="256" w:lineRule="auto"/>
        <w:ind w:left="993"/>
        <w:jc w:val="both"/>
        <w:rPr>
          <w:rFonts w:ascii="Times New Roman" w:hAnsi="Times New Roman" w:cs="Times New Roman"/>
          <w:sz w:val="24"/>
          <w:szCs w:val="24"/>
        </w:rPr>
      </w:pPr>
      <w:r>
        <w:rPr>
          <w:rFonts w:ascii="Times New Roman" w:hAnsi="Times New Roman" w:cs="Times New Roman"/>
          <w:sz w:val="24"/>
          <w:szCs w:val="24"/>
        </w:rPr>
        <w:t>Katılma</w:t>
      </w:r>
      <w:r w:rsidR="003311D9">
        <w:rPr>
          <w:rFonts w:ascii="Times New Roman" w:hAnsi="Times New Roman" w:cs="Times New Roman"/>
          <w:sz w:val="24"/>
          <w:szCs w:val="24"/>
        </w:rPr>
        <w:t xml:space="preserve"> </w:t>
      </w:r>
      <w:r w:rsidR="00263174">
        <w:rPr>
          <w:rFonts w:ascii="Times New Roman" w:hAnsi="Times New Roman" w:cs="Times New Roman"/>
          <w:sz w:val="24"/>
          <w:szCs w:val="24"/>
        </w:rPr>
        <w:t>pay</w:t>
      </w:r>
      <w:r>
        <w:rPr>
          <w:rFonts w:ascii="Times New Roman" w:hAnsi="Times New Roman" w:cs="Times New Roman"/>
          <w:sz w:val="24"/>
          <w:szCs w:val="24"/>
        </w:rPr>
        <w:t>ı</w:t>
      </w:r>
      <w:r w:rsidR="00263174">
        <w:rPr>
          <w:rFonts w:ascii="Times New Roman" w:hAnsi="Times New Roman" w:cs="Times New Roman"/>
          <w:sz w:val="24"/>
          <w:szCs w:val="24"/>
        </w:rPr>
        <w:t xml:space="preserve"> adedine</w:t>
      </w:r>
      <w:r w:rsidR="008D3856" w:rsidRPr="00676C87">
        <w:rPr>
          <w:rFonts w:ascii="Times New Roman" w:hAnsi="Times New Roman" w:cs="Times New Roman"/>
          <w:sz w:val="24"/>
          <w:szCs w:val="24"/>
        </w:rPr>
        <w:t xml:space="preserve"> ilişkin üst limit</w:t>
      </w:r>
      <w:r w:rsidR="008D3856">
        <w:rPr>
          <w:rFonts w:ascii="Times New Roman" w:hAnsi="Times New Roman" w:cs="Times New Roman"/>
          <w:sz w:val="24"/>
          <w:szCs w:val="24"/>
        </w:rPr>
        <w:t>e</w:t>
      </w:r>
      <w:r w:rsidR="003311D9">
        <w:rPr>
          <w:rFonts w:ascii="Times New Roman" w:hAnsi="Times New Roman" w:cs="Times New Roman"/>
          <w:sz w:val="24"/>
          <w:szCs w:val="24"/>
        </w:rPr>
        <w:t xml:space="preserve"> </w:t>
      </w:r>
      <w:r w:rsidR="008D3856" w:rsidRPr="00676C87">
        <w:rPr>
          <w:rFonts w:ascii="Times New Roman" w:hAnsi="Times New Roman" w:cs="Times New Roman"/>
          <w:sz w:val="24"/>
          <w:szCs w:val="24"/>
        </w:rPr>
        <w:t xml:space="preserve">izahnamede ve yatırımcı bilgi formunda </w:t>
      </w:r>
      <w:r w:rsidR="008D3856">
        <w:rPr>
          <w:rFonts w:ascii="Times New Roman" w:hAnsi="Times New Roman" w:cs="Times New Roman"/>
          <w:sz w:val="24"/>
          <w:szCs w:val="24"/>
        </w:rPr>
        <w:t>yer verilir.</w:t>
      </w:r>
    </w:p>
    <w:p w:rsidR="008D3856" w:rsidRPr="00676C87" w:rsidRDefault="008D3856" w:rsidP="0006161B">
      <w:pPr>
        <w:pStyle w:val="ListParagraph"/>
        <w:numPr>
          <w:ilvl w:val="0"/>
          <w:numId w:val="43"/>
        </w:numPr>
        <w:spacing w:line="256" w:lineRule="auto"/>
        <w:ind w:left="993"/>
        <w:jc w:val="both"/>
        <w:rPr>
          <w:rFonts w:ascii="Times New Roman" w:hAnsi="Times New Roman" w:cs="Times New Roman"/>
          <w:sz w:val="24"/>
          <w:szCs w:val="24"/>
        </w:rPr>
      </w:pPr>
      <w:r>
        <w:rPr>
          <w:rFonts w:ascii="Times New Roman" w:hAnsi="Times New Roman" w:cs="Times New Roman"/>
          <w:sz w:val="24"/>
          <w:szCs w:val="24"/>
        </w:rPr>
        <w:t xml:space="preserve">Üst limit belirlenmesinin gerekçesine </w:t>
      </w:r>
      <w:r w:rsidRPr="00676C87">
        <w:rPr>
          <w:rFonts w:ascii="Times New Roman" w:hAnsi="Times New Roman" w:cs="Times New Roman"/>
          <w:sz w:val="24"/>
          <w:szCs w:val="24"/>
        </w:rPr>
        <w:t>izahnamede yer verilmesi</w:t>
      </w:r>
      <w:r>
        <w:rPr>
          <w:rFonts w:ascii="Times New Roman" w:hAnsi="Times New Roman" w:cs="Times New Roman"/>
          <w:sz w:val="24"/>
          <w:szCs w:val="24"/>
        </w:rPr>
        <w:t xml:space="preserve"> ve bu gerekçenin objektif ve nesnel değerlendirmelere dayanması gerekir.</w:t>
      </w:r>
    </w:p>
    <w:p w:rsidR="008D3856" w:rsidRPr="00365F63" w:rsidRDefault="00796578" w:rsidP="0006161B">
      <w:pPr>
        <w:pStyle w:val="ListParagraph"/>
        <w:numPr>
          <w:ilvl w:val="0"/>
          <w:numId w:val="43"/>
        </w:numPr>
        <w:spacing w:line="256" w:lineRule="auto"/>
        <w:ind w:left="993"/>
        <w:jc w:val="both"/>
        <w:rPr>
          <w:rFonts w:ascii="Times New Roman" w:hAnsi="Times New Roman" w:cs="Times New Roman"/>
          <w:sz w:val="24"/>
          <w:szCs w:val="24"/>
        </w:rPr>
      </w:pPr>
      <w:r>
        <w:rPr>
          <w:rFonts w:ascii="Times New Roman" w:hAnsi="Times New Roman" w:cs="Times New Roman"/>
          <w:sz w:val="24"/>
          <w:szCs w:val="24"/>
        </w:rPr>
        <w:t xml:space="preserve">Katılma </w:t>
      </w:r>
      <w:r w:rsidR="00263174">
        <w:rPr>
          <w:rFonts w:ascii="Times New Roman" w:hAnsi="Times New Roman" w:cs="Times New Roman"/>
          <w:sz w:val="24"/>
          <w:szCs w:val="24"/>
        </w:rPr>
        <w:t>pay</w:t>
      </w:r>
      <w:r>
        <w:rPr>
          <w:rFonts w:ascii="Times New Roman" w:hAnsi="Times New Roman" w:cs="Times New Roman"/>
          <w:sz w:val="24"/>
          <w:szCs w:val="24"/>
        </w:rPr>
        <w:t>ı</w:t>
      </w:r>
      <w:r w:rsidR="00263174">
        <w:rPr>
          <w:rFonts w:ascii="Times New Roman" w:hAnsi="Times New Roman" w:cs="Times New Roman"/>
          <w:sz w:val="24"/>
          <w:szCs w:val="24"/>
        </w:rPr>
        <w:t xml:space="preserve"> adedi</w:t>
      </w:r>
      <w:r w:rsidR="008D3856">
        <w:rPr>
          <w:rFonts w:ascii="Times New Roman" w:hAnsi="Times New Roman" w:cs="Times New Roman"/>
          <w:sz w:val="24"/>
          <w:szCs w:val="24"/>
        </w:rPr>
        <w:t xml:space="preserve"> için belirlenen üst limite</w:t>
      </w:r>
      <w:r w:rsidR="008D3856" w:rsidRPr="002A35EB">
        <w:rPr>
          <w:rFonts w:ascii="Times New Roman" w:hAnsi="Times New Roman" w:cs="Times New Roman"/>
          <w:sz w:val="24"/>
          <w:szCs w:val="24"/>
        </w:rPr>
        <w:t xml:space="preserve"> ulaşılması halinde fon katılm</w:t>
      </w:r>
      <w:r w:rsidR="008D3856">
        <w:rPr>
          <w:rFonts w:ascii="Times New Roman" w:hAnsi="Times New Roman" w:cs="Times New Roman"/>
          <w:sz w:val="24"/>
          <w:szCs w:val="24"/>
        </w:rPr>
        <w:t xml:space="preserve">a paylarının satışı durdurulur. </w:t>
      </w:r>
    </w:p>
    <w:p w:rsidR="008D3856" w:rsidRPr="00365F63" w:rsidRDefault="004E408F" w:rsidP="0006161B">
      <w:pPr>
        <w:pStyle w:val="ListParagraph"/>
        <w:numPr>
          <w:ilvl w:val="0"/>
          <w:numId w:val="43"/>
        </w:numPr>
        <w:spacing w:line="256" w:lineRule="auto"/>
        <w:ind w:left="993"/>
        <w:jc w:val="both"/>
        <w:rPr>
          <w:rFonts w:ascii="Times New Roman" w:hAnsi="Times New Roman" w:cs="Times New Roman"/>
          <w:sz w:val="24"/>
          <w:szCs w:val="24"/>
        </w:rPr>
      </w:pPr>
      <w:r w:rsidRPr="00365F63">
        <w:rPr>
          <w:rFonts w:ascii="Times New Roman" w:hAnsi="Times New Roman" w:cs="Times New Roman"/>
          <w:sz w:val="24"/>
          <w:szCs w:val="24"/>
        </w:rPr>
        <w:t>K</w:t>
      </w:r>
      <w:r w:rsidR="008D3856" w:rsidRPr="00365F63">
        <w:rPr>
          <w:rFonts w:ascii="Times New Roman" w:hAnsi="Times New Roman" w:cs="Times New Roman"/>
          <w:sz w:val="24"/>
          <w:szCs w:val="24"/>
        </w:rPr>
        <w:t>atılma paylarının yeniden satışa sunulmaya başlanacağı eşik oran (</w:t>
      </w:r>
      <w:r w:rsidR="00263174" w:rsidRPr="00365F63">
        <w:rPr>
          <w:rFonts w:ascii="Times New Roman" w:hAnsi="Times New Roman" w:cs="Times New Roman"/>
          <w:sz w:val="24"/>
          <w:szCs w:val="24"/>
        </w:rPr>
        <w:t xml:space="preserve">satışı yapılan </w:t>
      </w:r>
      <w:r w:rsidR="008D3856" w:rsidRPr="00365F63">
        <w:rPr>
          <w:rFonts w:ascii="Times New Roman" w:hAnsi="Times New Roman" w:cs="Times New Roman"/>
          <w:sz w:val="24"/>
          <w:szCs w:val="24"/>
        </w:rPr>
        <w:t xml:space="preserve">fon </w:t>
      </w:r>
      <w:r w:rsidR="0089309C">
        <w:rPr>
          <w:rFonts w:ascii="Times New Roman" w:hAnsi="Times New Roman" w:cs="Times New Roman"/>
          <w:sz w:val="24"/>
          <w:szCs w:val="24"/>
        </w:rPr>
        <w:t xml:space="preserve">katılma </w:t>
      </w:r>
      <w:r w:rsidR="00263174" w:rsidRPr="00365F63">
        <w:rPr>
          <w:rFonts w:ascii="Times New Roman" w:hAnsi="Times New Roman" w:cs="Times New Roman"/>
          <w:sz w:val="24"/>
          <w:szCs w:val="24"/>
        </w:rPr>
        <w:t>pay</w:t>
      </w:r>
      <w:r w:rsidR="0089309C">
        <w:rPr>
          <w:rFonts w:ascii="Times New Roman" w:hAnsi="Times New Roman" w:cs="Times New Roman"/>
          <w:sz w:val="24"/>
          <w:szCs w:val="24"/>
        </w:rPr>
        <w:t>ı</w:t>
      </w:r>
      <w:r w:rsidR="00263174" w:rsidRPr="00365F63">
        <w:rPr>
          <w:rFonts w:ascii="Times New Roman" w:hAnsi="Times New Roman" w:cs="Times New Roman"/>
          <w:sz w:val="24"/>
          <w:szCs w:val="24"/>
        </w:rPr>
        <w:t xml:space="preserve"> adedinin</w:t>
      </w:r>
      <w:r w:rsidR="008D3856" w:rsidRPr="00365F63">
        <w:rPr>
          <w:rFonts w:ascii="Times New Roman" w:hAnsi="Times New Roman" w:cs="Times New Roman"/>
          <w:sz w:val="24"/>
          <w:szCs w:val="24"/>
        </w:rPr>
        <w:t xml:space="preserve"> üst limite oranı) ve yeniden satışa ilişkin diğer hususlar izahnamede açıklanır.</w:t>
      </w:r>
    </w:p>
    <w:p w:rsidR="008D3856" w:rsidRDefault="00C63B62" w:rsidP="0006161B">
      <w:pPr>
        <w:pStyle w:val="ListParagraph"/>
        <w:numPr>
          <w:ilvl w:val="0"/>
          <w:numId w:val="43"/>
        </w:numPr>
        <w:spacing w:line="256" w:lineRule="auto"/>
        <w:ind w:left="993"/>
        <w:jc w:val="both"/>
        <w:rPr>
          <w:rFonts w:ascii="Times New Roman" w:hAnsi="Times New Roman" w:cs="Times New Roman"/>
          <w:sz w:val="24"/>
          <w:szCs w:val="24"/>
        </w:rPr>
      </w:pPr>
      <w:r>
        <w:rPr>
          <w:rFonts w:ascii="Times New Roman" w:hAnsi="Times New Roman" w:cs="Times New Roman"/>
          <w:sz w:val="24"/>
          <w:szCs w:val="24"/>
        </w:rPr>
        <w:t>Ü</w:t>
      </w:r>
      <w:r w:rsidR="008D3856">
        <w:rPr>
          <w:rFonts w:ascii="Times New Roman" w:hAnsi="Times New Roman" w:cs="Times New Roman"/>
          <w:sz w:val="24"/>
          <w:szCs w:val="24"/>
        </w:rPr>
        <w:t>st limitin</w:t>
      </w:r>
      <w:r w:rsidR="008D3856" w:rsidRPr="003D056F">
        <w:rPr>
          <w:rFonts w:ascii="Times New Roman" w:hAnsi="Times New Roman" w:cs="Times New Roman"/>
          <w:sz w:val="24"/>
          <w:szCs w:val="24"/>
        </w:rPr>
        <w:t xml:space="preserve"> artır</w:t>
      </w:r>
      <w:r w:rsidR="00FF12FF">
        <w:rPr>
          <w:rFonts w:ascii="Times New Roman" w:hAnsi="Times New Roman" w:cs="Times New Roman"/>
          <w:sz w:val="24"/>
          <w:szCs w:val="24"/>
        </w:rPr>
        <w:t>ıla</w:t>
      </w:r>
      <w:r w:rsidR="008D3856" w:rsidRPr="003D056F">
        <w:rPr>
          <w:rFonts w:ascii="Times New Roman" w:hAnsi="Times New Roman" w:cs="Times New Roman"/>
          <w:sz w:val="24"/>
          <w:szCs w:val="24"/>
        </w:rPr>
        <w:t>bilmesi ya da azalt</w:t>
      </w:r>
      <w:r w:rsidR="00FF12FF">
        <w:rPr>
          <w:rFonts w:ascii="Times New Roman" w:hAnsi="Times New Roman" w:cs="Times New Roman"/>
          <w:sz w:val="24"/>
          <w:szCs w:val="24"/>
        </w:rPr>
        <w:t>ıla</w:t>
      </w:r>
      <w:r w:rsidR="008D3856" w:rsidRPr="003D056F">
        <w:rPr>
          <w:rFonts w:ascii="Times New Roman" w:hAnsi="Times New Roman" w:cs="Times New Roman"/>
          <w:sz w:val="24"/>
          <w:szCs w:val="24"/>
        </w:rPr>
        <w:t xml:space="preserve">bilmesi için izahname değişikliği </w:t>
      </w:r>
      <w:r w:rsidR="008D3856">
        <w:rPr>
          <w:rFonts w:ascii="Times New Roman" w:hAnsi="Times New Roman" w:cs="Times New Roman"/>
          <w:sz w:val="24"/>
          <w:szCs w:val="24"/>
        </w:rPr>
        <w:t xml:space="preserve">talebiyle </w:t>
      </w:r>
      <w:r w:rsidR="008D3856" w:rsidRPr="003D056F">
        <w:rPr>
          <w:rFonts w:ascii="Times New Roman" w:hAnsi="Times New Roman" w:cs="Times New Roman"/>
          <w:sz w:val="24"/>
          <w:szCs w:val="24"/>
        </w:rPr>
        <w:t>Kurula başvurulması gerek</w:t>
      </w:r>
      <w:r w:rsidR="008D3856">
        <w:rPr>
          <w:rFonts w:ascii="Times New Roman" w:hAnsi="Times New Roman" w:cs="Times New Roman"/>
          <w:sz w:val="24"/>
          <w:szCs w:val="24"/>
        </w:rPr>
        <w:t>ir.</w:t>
      </w:r>
    </w:p>
    <w:p w:rsidR="00A30A8D" w:rsidRPr="00263174" w:rsidRDefault="008D3856" w:rsidP="0006161B">
      <w:pPr>
        <w:pStyle w:val="ListParagraph"/>
        <w:numPr>
          <w:ilvl w:val="0"/>
          <w:numId w:val="43"/>
        </w:numPr>
        <w:spacing w:line="256" w:lineRule="auto"/>
        <w:ind w:left="993"/>
        <w:jc w:val="both"/>
        <w:rPr>
          <w:rFonts w:ascii="Times New Roman" w:hAnsi="Times New Roman" w:cs="Times New Roman"/>
          <w:sz w:val="24"/>
          <w:szCs w:val="24"/>
        </w:rPr>
      </w:pPr>
      <w:r w:rsidRPr="00263174">
        <w:rPr>
          <w:rFonts w:ascii="Times New Roman" w:hAnsi="Times New Roman" w:cs="Times New Roman"/>
          <w:sz w:val="24"/>
          <w:szCs w:val="24"/>
        </w:rPr>
        <w:t>Fon Tebliği’nin 14</w:t>
      </w:r>
      <w:r w:rsidR="00FF12FF">
        <w:rPr>
          <w:rFonts w:ascii="Times New Roman" w:hAnsi="Times New Roman" w:cs="Times New Roman"/>
          <w:sz w:val="24"/>
          <w:szCs w:val="24"/>
        </w:rPr>
        <w:t>’üncü</w:t>
      </w:r>
      <w:r w:rsidRPr="00263174">
        <w:rPr>
          <w:rFonts w:ascii="Times New Roman" w:hAnsi="Times New Roman" w:cs="Times New Roman"/>
          <w:sz w:val="24"/>
          <w:szCs w:val="24"/>
        </w:rPr>
        <w:t xml:space="preserve"> maddesinin yedinci fıkrası saklı kalmak üzere, katılma paylarının fon tarafından geri alınması işlemi durdurulamaz.</w:t>
      </w:r>
    </w:p>
    <w:p w:rsidR="00644651" w:rsidRDefault="00644651" w:rsidP="00A30A8D">
      <w:pPr>
        <w:pStyle w:val="ListParagraph"/>
        <w:spacing w:line="256" w:lineRule="auto"/>
        <w:jc w:val="both"/>
      </w:pPr>
    </w:p>
    <w:p w:rsidR="00241AD2" w:rsidRDefault="009129F5" w:rsidP="00FF12FF">
      <w:pPr>
        <w:pStyle w:val="Heading2"/>
        <w:spacing w:after="240"/>
      </w:pPr>
      <w:bookmarkStart w:id="187" w:name="_Toc130312578"/>
      <w:bookmarkStart w:id="188" w:name="_Toc130312711"/>
      <w:r>
        <w:t>6</w:t>
      </w:r>
      <w:r w:rsidR="001908E2">
        <w:t>.</w:t>
      </w:r>
      <w:r w:rsidR="008D3856">
        <w:t>2</w:t>
      </w:r>
      <w:r w:rsidR="001908E2">
        <w:t>.</w:t>
      </w:r>
      <w:r w:rsidR="005C7BE7">
        <w:t xml:space="preserve"> </w:t>
      </w:r>
      <w:r w:rsidR="001908E2" w:rsidRPr="000100CE">
        <w:t>Küsurat İşlemleri</w:t>
      </w:r>
      <w:bookmarkEnd w:id="187"/>
      <w:bookmarkEnd w:id="188"/>
    </w:p>
    <w:p w:rsidR="00241AD2" w:rsidRDefault="00241AD2" w:rsidP="00FF12FF">
      <w:pPr>
        <w:spacing w:after="240" w:line="240" w:lineRule="auto"/>
        <w:ind w:firstLine="708"/>
        <w:jc w:val="both"/>
        <w:rPr>
          <w:rFonts w:ascii="Times New Roman" w:eastAsia="Times New Roman" w:hAnsi="Times New Roman" w:cs="Times New Roman"/>
          <w:bCs/>
          <w:sz w:val="24"/>
          <w:szCs w:val="24"/>
          <w:lang w:eastAsia="tr-TR"/>
        </w:rPr>
      </w:pPr>
      <w:r w:rsidRPr="000100CE">
        <w:rPr>
          <w:rFonts w:ascii="Times New Roman" w:eastAsia="Times New Roman" w:hAnsi="Times New Roman" w:cs="Times New Roman"/>
          <w:bCs/>
          <w:sz w:val="24"/>
          <w:szCs w:val="24"/>
          <w:lang w:eastAsia="tr-TR"/>
        </w:rPr>
        <w:t>Katılma payları, bir paydan daha küçük birimler halinde, küsuratlı olarak ihraç edilebilir ve geri alınabilir;  teminat, virman gibi işlemler ise ancak bir pay ve katları üzerinden yapılabilir.</w:t>
      </w:r>
    </w:p>
    <w:p w:rsidR="00DE3EE1" w:rsidRDefault="009129F5" w:rsidP="00FF12FF">
      <w:pPr>
        <w:pStyle w:val="Heading2"/>
        <w:spacing w:after="240"/>
        <w:rPr>
          <w:lang w:eastAsia="tr-TR"/>
        </w:rPr>
      </w:pPr>
      <w:bookmarkStart w:id="189" w:name="_Toc130312579"/>
      <w:bookmarkStart w:id="190" w:name="_Toc130312712"/>
      <w:r>
        <w:rPr>
          <w:lang w:eastAsia="tr-TR"/>
        </w:rPr>
        <w:t>6</w:t>
      </w:r>
      <w:r w:rsidR="00DE3EE1">
        <w:rPr>
          <w:lang w:eastAsia="tr-TR"/>
        </w:rPr>
        <w:t>.</w:t>
      </w:r>
      <w:r w:rsidR="008D3856">
        <w:rPr>
          <w:lang w:eastAsia="tr-TR"/>
        </w:rPr>
        <w:t>3</w:t>
      </w:r>
      <w:r w:rsidR="00644651">
        <w:rPr>
          <w:lang w:eastAsia="tr-TR"/>
        </w:rPr>
        <w:t>.</w:t>
      </w:r>
      <w:r w:rsidR="005C7BE7">
        <w:rPr>
          <w:lang w:eastAsia="tr-TR"/>
        </w:rPr>
        <w:t xml:space="preserve"> </w:t>
      </w:r>
      <w:r w:rsidR="00DE3EE1" w:rsidRPr="00424C08">
        <w:rPr>
          <w:lang w:eastAsia="tr-TR"/>
        </w:rPr>
        <w:t>Pay Bölünmesi</w:t>
      </w:r>
      <w:bookmarkEnd w:id="189"/>
      <w:bookmarkEnd w:id="190"/>
    </w:p>
    <w:p w:rsidR="00DE3EE1" w:rsidRPr="00424C08" w:rsidRDefault="00DE3EE1" w:rsidP="00FF12FF">
      <w:pPr>
        <w:spacing w:after="240" w:line="240" w:lineRule="auto"/>
        <w:ind w:firstLine="708"/>
        <w:jc w:val="both"/>
        <w:rPr>
          <w:rFonts w:ascii="Times New Roman" w:hAnsi="Times New Roman" w:cs="Times New Roman"/>
          <w:color w:val="000000"/>
          <w:sz w:val="24"/>
          <w:szCs w:val="24"/>
          <w:lang w:eastAsia="tr-TR"/>
        </w:rPr>
      </w:pPr>
      <w:r w:rsidRPr="00424C08">
        <w:rPr>
          <w:rFonts w:ascii="Times New Roman" w:hAnsi="Times New Roman" w:cs="Times New Roman"/>
          <w:color w:val="000000"/>
          <w:sz w:val="24"/>
          <w:szCs w:val="24"/>
          <w:lang w:eastAsia="tr-TR"/>
        </w:rPr>
        <w:t xml:space="preserve">Fon katılma payı alım satım işlemlerinin daha küçük tutarlarda gerçekleştirilebilmesi amacıyla, fonun pay sayısının </w:t>
      </w:r>
      <w:r w:rsidR="00FF12FF">
        <w:rPr>
          <w:rFonts w:ascii="Times New Roman" w:hAnsi="Times New Roman" w:cs="Times New Roman"/>
          <w:color w:val="000000"/>
          <w:sz w:val="24"/>
          <w:szCs w:val="24"/>
          <w:lang w:eastAsia="tr-TR"/>
        </w:rPr>
        <w:t>(</w:t>
      </w:r>
      <w:r w:rsidR="00FF12FF" w:rsidRPr="00424C08">
        <w:rPr>
          <w:rFonts w:ascii="Times New Roman" w:hAnsi="Times New Roman" w:cs="Times New Roman"/>
          <w:color w:val="000000"/>
          <w:sz w:val="24"/>
          <w:szCs w:val="24"/>
          <w:lang w:eastAsia="tr-TR"/>
        </w:rPr>
        <w:t>tedavüldeki</w:t>
      </w:r>
      <w:r w:rsidR="00FF12FF">
        <w:rPr>
          <w:rFonts w:ascii="Times New Roman" w:hAnsi="Times New Roman" w:cs="Times New Roman"/>
          <w:color w:val="000000"/>
          <w:sz w:val="24"/>
          <w:szCs w:val="24"/>
          <w:lang w:eastAsia="tr-TR"/>
        </w:rPr>
        <w:t>)</w:t>
      </w:r>
      <w:r w:rsidR="0057139F">
        <w:rPr>
          <w:rFonts w:ascii="Times New Roman" w:hAnsi="Times New Roman" w:cs="Times New Roman"/>
          <w:color w:val="000000"/>
          <w:sz w:val="24"/>
          <w:szCs w:val="24"/>
          <w:lang w:eastAsia="tr-TR"/>
        </w:rPr>
        <w:t xml:space="preserve"> </w:t>
      </w:r>
      <w:r w:rsidRPr="00424C08">
        <w:rPr>
          <w:rFonts w:ascii="Times New Roman" w:hAnsi="Times New Roman" w:cs="Times New Roman"/>
          <w:color w:val="000000"/>
          <w:sz w:val="24"/>
          <w:szCs w:val="24"/>
          <w:lang w:eastAsia="tr-TR"/>
        </w:rPr>
        <w:t>belirli bir oran dahilinde artırılması ve</w:t>
      </w:r>
      <w:r w:rsidR="00FF12FF">
        <w:rPr>
          <w:rFonts w:ascii="Times New Roman" w:hAnsi="Times New Roman" w:cs="Times New Roman"/>
          <w:color w:val="000000"/>
          <w:sz w:val="24"/>
          <w:szCs w:val="24"/>
          <w:lang w:eastAsia="tr-TR"/>
        </w:rPr>
        <w:t xml:space="preserve"> eş anlı olarak</w:t>
      </w:r>
      <w:r w:rsidRPr="00424C08">
        <w:rPr>
          <w:rFonts w:ascii="Times New Roman" w:hAnsi="Times New Roman" w:cs="Times New Roman"/>
          <w:color w:val="000000"/>
          <w:sz w:val="24"/>
          <w:szCs w:val="24"/>
          <w:lang w:eastAsia="tr-TR"/>
        </w:rPr>
        <w:t xml:space="preserve"> aynı orana karşılık gelecek şekilde fonun birim pay değerinin düşürülmesi Kurul’dan izin alınması kaydıyla mümkündür. Örneğin; birim pay değeri 123 </w:t>
      </w:r>
      <w:r>
        <w:rPr>
          <w:rFonts w:ascii="Times New Roman" w:hAnsi="Times New Roman" w:cs="Times New Roman"/>
          <w:color w:val="000000"/>
          <w:sz w:val="24"/>
          <w:szCs w:val="24"/>
          <w:lang w:eastAsia="tr-TR"/>
        </w:rPr>
        <w:t>TL</w:t>
      </w:r>
      <w:r w:rsidRPr="00424C08">
        <w:rPr>
          <w:rFonts w:ascii="Times New Roman" w:hAnsi="Times New Roman" w:cs="Times New Roman"/>
          <w:color w:val="000000"/>
          <w:sz w:val="24"/>
          <w:szCs w:val="24"/>
          <w:lang w:eastAsia="tr-TR"/>
        </w:rPr>
        <w:t xml:space="preserve"> ve pay sayısı</w:t>
      </w:r>
      <w:r>
        <w:rPr>
          <w:rFonts w:ascii="Times New Roman" w:hAnsi="Times New Roman" w:cs="Times New Roman"/>
          <w:color w:val="000000"/>
          <w:sz w:val="24"/>
          <w:szCs w:val="24"/>
          <w:lang w:eastAsia="tr-TR"/>
        </w:rPr>
        <w:t xml:space="preserve"> (</w:t>
      </w:r>
      <w:r w:rsidRPr="00424C08">
        <w:rPr>
          <w:rFonts w:ascii="Times New Roman" w:hAnsi="Times New Roman" w:cs="Times New Roman"/>
          <w:color w:val="000000"/>
          <w:sz w:val="24"/>
          <w:szCs w:val="24"/>
          <w:lang w:eastAsia="tr-TR"/>
        </w:rPr>
        <w:t>tedavüldeki</w:t>
      </w:r>
      <w:r>
        <w:rPr>
          <w:rFonts w:ascii="Times New Roman" w:hAnsi="Times New Roman" w:cs="Times New Roman"/>
          <w:color w:val="000000"/>
          <w:sz w:val="24"/>
          <w:szCs w:val="24"/>
          <w:lang w:eastAsia="tr-TR"/>
        </w:rPr>
        <w:t>)</w:t>
      </w:r>
      <w:r w:rsidRPr="00424C08">
        <w:rPr>
          <w:rFonts w:ascii="Times New Roman" w:hAnsi="Times New Roman" w:cs="Times New Roman"/>
          <w:color w:val="000000"/>
          <w:sz w:val="24"/>
          <w:szCs w:val="24"/>
          <w:lang w:eastAsia="tr-TR"/>
        </w:rPr>
        <w:t xml:space="preserve"> 10.000 adet olan bir fonun yatırımcılarının sahip olduğu her bir payın 10 pay olacak şekilde artırılması halinde, fonun pay sayısı</w:t>
      </w:r>
      <w:r w:rsidR="00C465C7">
        <w:rPr>
          <w:rFonts w:ascii="Times New Roman" w:hAnsi="Times New Roman" w:cs="Times New Roman"/>
          <w:color w:val="000000"/>
          <w:sz w:val="24"/>
          <w:szCs w:val="24"/>
          <w:lang w:eastAsia="tr-TR"/>
        </w:rPr>
        <w:t xml:space="preserve"> (</w:t>
      </w:r>
      <w:r w:rsidR="00C465C7" w:rsidRPr="00424C08">
        <w:rPr>
          <w:rFonts w:ascii="Times New Roman" w:hAnsi="Times New Roman" w:cs="Times New Roman"/>
          <w:color w:val="000000"/>
          <w:sz w:val="24"/>
          <w:szCs w:val="24"/>
          <w:lang w:eastAsia="tr-TR"/>
        </w:rPr>
        <w:t>tedavüldeki</w:t>
      </w:r>
      <w:r w:rsidR="00C465C7">
        <w:rPr>
          <w:rFonts w:ascii="Times New Roman" w:hAnsi="Times New Roman" w:cs="Times New Roman"/>
          <w:color w:val="000000"/>
          <w:sz w:val="24"/>
          <w:szCs w:val="24"/>
          <w:lang w:eastAsia="tr-TR"/>
        </w:rPr>
        <w:t>)</w:t>
      </w:r>
      <w:r w:rsidRPr="00424C08">
        <w:rPr>
          <w:rFonts w:ascii="Times New Roman" w:hAnsi="Times New Roman" w:cs="Times New Roman"/>
          <w:color w:val="000000"/>
          <w:sz w:val="24"/>
          <w:szCs w:val="24"/>
          <w:lang w:eastAsia="tr-TR"/>
        </w:rPr>
        <w:t xml:space="preserve"> 100.000 adet, fonun birim pay fiyatı ise</w:t>
      </w:r>
      <w:r w:rsidR="0057139F">
        <w:rPr>
          <w:rFonts w:ascii="Times New Roman" w:hAnsi="Times New Roman" w:cs="Times New Roman"/>
          <w:color w:val="000000"/>
          <w:sz w:val="24"/>
          <w:szCs w:val="24"/>
          <w:lang w:eastAsia="tr-TR"/>
        </w:rPr>
        <w:t xml:space="preserve"> </w:t>
      </w:r>
      <w:r w:rsidRPr="00424C08">
        <w:rPr>
          <w:rFonts w:ascii="Times New Roman" w:hAnsi="Times New Roman" w:cs="Times New Roman"/>
          <w:color w:val="000000"/>
          <w:sz w:val="24"/>
          <w:szCs w:val="24"/>
          <w:lang w:eastAsia="tr-TR"/>
        </w:rPr>
        <w:t>12,3</w:t>
      </w:r>
      <w:r>
        <w:rPr>
          <w:rFonts w:ascii="Times New Roman" w:hAnsi="Times New Roman" w:cs="Times New Roman"/>
          <w:color w:val="000000"/>
          <w:sz w:val="24"/>
          <w:szCs w:val="24"/>
          <w:lang w:eastAsia="tr-TR"/>
        </w:rPr>
        <w:t>0TL</w:t>
      </w:r>
      <w:r w:rsidRPr="00424C08">
        <w:rPr>
          <w:rFonts w:ascii="Times New Roman" w:hAnsi="Times New Roman" w:cs="Times New Roman"/>
          <w:color w:val="000000"/>
          <w:sz w:val="24"/>
          <w:szCs w:val="24"/>
          <w:lang w:eastAsia="tr-TR"/>
        </w:rPr>
        <w:t xml:space="preserve"> olacaktır.</w:t>
      </w:r>
    </w:p>
    <w:p w:rsidR="00DE3EE1" w:rsidRDefault="00DE3EE1" w:rsidP="00FF12FF">
      <w:pPr>
        <w:spacing w:after="240" w:line="240" w:lineRule="auto"/>
        <w:ind w:firstLine="708"/>
        <w:jc w:val="both"/>
        <w:rPr>
          <w:rFonts w:ascii="Times New Roman" w:hAnsi="Times New Roman" w:cs="Times New Roman"/>
          <w:color w:val="000000"/>
          <w:sz w:val="24"/>
          <w:szCs w:val="24"/>
          <w:lang w:eastAsia="tr-TR"/>
        </w:rPr>
      </w:pPr>
      <w:r w:rsidRPr="00424C08">
        <w:rPr>
          <w:rFonts w:ascii="Times New Roman" w:hAnsi="Times New Roman" w:cs="Times New Roman"/>
          <w:color w:val="000000"/>
          <w:sz w:val="24"/>
          <w:szCs w:val="24"/>
          <w:lang w:eastAsia="tr-TR"/>
        </w:rPr>
        <w:t xml:space="preserve">Bu şekilde oluşturulacak yeni </w:t>
      </w:r>
      <w:r w:rsidR="00FF12FF">
        <w:rPr>
          <w:rFonts w:ascii="Times New Roman" w:hAnsi="Times New Roman" w:cs="Times New Roman"/>
          <w:color w:val="000000"/>
          <w:sz w:val="24"/>
          <w:szCs w:val="24"/>
          <w:lang w:eastAsia="tr-TR"/>
        </w:rPr>
        <w:t xml:space="preserve">katılma </w:t>
      </w:r>
      <w:r w:rsidRPr="00424C08">
        <w:rPr>
          <w:rFonts w:ascii="Times New Roman" w:hAnsi="Times New Roman" w:cs="Times New Roman"/>
          <w:color w:val="000000"/>
          <w:sz w:val="24"/>
          <w:szCs w:val="24"/>
          <w:lang w:eastAsia="tr-TR"/>
        </w:rPr>
        <w:t>paylar</w:t>
      </w:r>
      <w:r w:rsidR="00FF12FF">
        <w:rPr>
          <w:rFonts w:ascii="Times New Roman" w:hAnsi="Times New Roman" w:cs="Times New Roman"/>
          <w:color w:val="000000"/>
          <w:sz w:val="24"/>
          <w:szCs w:val="24"/>
          <w:lang w:eastAsia="tr-TR"/>
        </w:rPr>
        <w:t>ı</w:t>
      </w:r>
      <w:r w:rsidRPr="00424C08">
        <w:rPr>
          <w:rFonts w:ascii="Times New Roman" w:hAnsi="Times New Roman" w:cs="Times New Roman"/>
          <w:color w:val="000000"/>
          <w:sz w:val="24"/>
          <w:szCs w:val="24"/>
          <w:lang w:eastAsia="tr-TR"/>
        </w:rPr>
        <w:t xml:space="preserve">, gün sonunda ilan edilen fiyat ve toplam pay sayısı </w:t>
      </w:r>
      <w:r w:rsidR="0048334E">
        <w:rPr>
          <w:rFonts w:ascii="Times New Roman" w:hAnsi="Times New Roman" w:cs="Times New Roman"/>
          <w:color w:val="000000"/>
          <w:sz w:val="24"/>
          <w:szCs w:val="24"/>
          <w:lang w:eastAsia="tr-TR"/>
        </w:rPr>
        <w:t>(</w:t>
      </w:r>
      <w:r w:rsidR="0048334E" w:rsidRPr="00424C08">
        <w:rPr>
          <w:rFonts w:ascii="Times New Roman" w:hAnsi="Times New Roman" w:cs="Times New Roman"/>
          <w:color w:val="000000"/>
          <w:sz w:val="24"/>
          <w:szCs w:val="24"/>
          <w:lang w:eastAsia="tr-TR"/>
        </w:rPr>
        <w:t>tedavüldeki</w:t>
      </w:r>
      <w:r w:rsidR="0048334E">
        <w:rPr>
          <w:rFonts w:ascii="Times New Roman" w:hAnsi="Times New Roman" w:cs="Times New Roman"/>
          <w:color w:val="000000"/>
          <w:sz w:val="24"/>
          <w:szCs w:val="24"/>
          <w:lang w:eastAsia="tr-TR"/>
        </w:rPr>
        <w:t xml:space="preserve">) </w:t>
      </w:r>
      <w:r w:rsidRPr="00424C08">
        <w:rPr>
          <w:rFonts w:ascii="Times New Roman" w:hAnsi="Times New Roman" w:cs="Times New Roman"/>
          <w:color w:val="000000"/>
          <w:sz w:val="24"/>
          <w:szCs w:val="24"/>
          <w:lang w:eastAsia="tr-TR"/>
        </w:rPr>
        <w:t>dikkate alınarak otomatik olarak MKK kayıtlarında oluşturulur. Fon yatırımcıları, söz konusu uygulamanın gerçekleşmesinden en az 10 işgünü öncesinde konu hakkında</w:t>
      </w:r>
      <w:r w:rsidR="000670D4">
        <w:rPr>
          <w:rFonts w:ascii="Times New Roman" w:hAnsi="Times New Roman" w:cs="Times New Roman"/>
          <w:color w:val="000000"/>
          <w:sz w:val="24"/>
          <w:szCs w:val="24"/>
          <w:lang w:eastAsia="tr-TR"/>
        </w:rPr>
        <w:t xml:space="preserve"> </w:t>
      </w:r>
      <w:r w:rsidR="004F0615">
        <w:rPr>
          <w:rFonts w:ascii="Times New Roman" w:hAnsi="Times New Roman" w:cs="Times New Roman"/>
          <w:color w:val="000000"/>
          <w:sz w:val="24"/>
          <w:szCs w:val="24"/>
          <w:lang w:eastAsia="tr-TR"/>
        </w:rPr>
        <w:t>KAP’ta</w:t>
      </w:r>
      <w:r w:rsidR="000670D4">
        <w:rPr>
          <w:rFonts w:ascii="Times New Roman" w:hAnsi="Times New Roman" w:cs="Times New Roman"/>
          <w:color w:val="000000"/>
          <w:sz w:val="24"/>
          <w:szCs w:val="24"/>
          <w:lang w:eastAsia="tr-TR"/>
        </w:rPr>
        <w:t xml:space="preserve"> </w:t>
      </w:r>
      <w:r w:rsidR="0048334E">
        <w:rPr>
          <w:rFonts w:ascii="Times New Roman" w:hAnsi="Times New Roman" w:cs="Times New Roman"/>
          <w:color w:val="000000"/>
          <w:sz w:val="24"/>
          <w:szCs w:val="24"/>
          <w:lang w:eastAsia="tr-TR"/>
        </w:rPr>
        <w:t xml:space="preserve">yapılacak bir duyuru </w:t>
      </w:r>
      <w:r w:rsidR="004F0615">
        <w:rPr>
          <w:rFonts w:ascii="Times New Roman" w:hAnsi="Times New Roman" w:cs="Times New Roman"/>
          <w:color w:val="000000"/>
          <w:sz w:val="24"/>
          <w:szCs w:val="24"/>
          <w:lang w:eastAsia="tr-TR"/>
        </w:rPr>
        <w:t>ve Kurucu tarafından uygun görülen diğer yöntemler aracılığıyla</w:t>
      </w:r>
      <w:r w:rsidRPr="00424C08">
        <w:rPr>
          <w:rFonts w:ascii="Times New Roman" w:hAnsi="Times New Roman" w:cs="Times New Roman"/>
          <w:color w:val="000000"/>
          <w:sz w:val="24"/>
          <w:szCs w:val="24"/>
          <w:lang w:eastAsia="tr-TR"/>
        </w:rPr>
        <w:t xml:space="preserve"> bilgilendirilir. </w:t>
      </w:r>
    </w:p>
    <w:p w:rsidR="00E34808" w:rsidRDefault="009129F5" w:rsidP="005845F8">
      <w:pPr>
        <w:pStyle w:val="Heading2"/>
        <w:spacing w:after="240"/>
      </w:pPr>
      <w:bookmarkStart w:id="191" w:name="_Toc130312580"/>
      <w:bookmarkStart w:id="192" w:name="_Toc130312713"/>
      <w:r>
        <w:t>6</w:t>
      </w:r>
      <w:r w:rsidR="001908E2">
        <w:t>.</w:t>
      </w:r>
      <w:r w:rsidR="004E408F">
        <w:t>4</w:t>
      </w:r>
      <w:r w:rsidR="001908E2">
        <w:t>.</w:t>
      </w:r>
      <w:r w:rsidR="00FE4E2D">
        <w:t xml:space="preserve"> </w:t>
      </w:r>
      <w:r w:rsidR="00D330E8">
        <w:t xml:space="preserve">Katılma Payı Alım Satımında </w:t>
      </w:r>
      <w:r w:rsidR="001908E2" w:rsidRPr="000100CE">
        <w:t>Altın Kullanı</w:t>
      </w:r>
      <w:r w:rsidR="00D330E8">
        <w:t>mı</w:t>
      </w:r>
      <w:bookmarkEnd w:id="191"/>
      <w:bookmarkEnd w:id="192"/>
    </w:p>
    <w:p w:rsidR="00E34808" w:rsidRPr="0051763D" w:rsidRDefault="003041AD" w:rsidP="005845F8">
      <w:pPr>
        <w:pStyle w:val="NormalWeb"/>
        <w:shd w:val="clear" w:color="auto" w:fill="FFFFFF"/>
        <w:spacing w:before="0" w:beforeAutospacing="0" w:after="240" w:afterAutospacing="0"/>
        <w:ind w:firstLine="708"/>
        <w:jc w:val="both"/>
      </w:pPr>
      <w:r>
        <w:t xml:space="preserve">Unvanında “altın” ibaresi bulunan fonlar tarafından, </w:t>
      </w:r>
      <w:r w:rsidR="00E34808" w:rsidRPr="0051763D">
        <w:t>Kurulun onayı alınmak kaydıyla</w:t>
      </w:r>
      <w:r w:rsidR="00D330E8">
        <w:t>, aşağıdaki esaslar çerçevesinde</w:t>
      </w:r>
      <w:r w:rsidR="000670D4">
        <w:t xml:space="preserve"> </w:t>
      </w:r>
      <w:r w:rsidR="00D330E8">
        <w:t>k</w:t>
      </w:r>
      <w:r w:rsidR="00D330E8" w:rsidRPr="0051763D">
        <w:t xml:space="preserve">atılma payı alım satımında </w:t>
      </w:r>
      <w:r w:rsidR="00E34808" w:rsidRPr="0051763D">
        <w:t>altın kullanılabilir</w:t>
      </w:r>
      <w:r w:rsidR="00D339A5">
        <w:t>:</w:t>
      </w:r>
    </w:p>
    <w:p w:rsidR="00282460" w:rsidRPr="00C432ED" w:rsidRDefault="00282460" w:rsidP="0006161B">
      <w:pPr>
        <w:pStyle w:val="NormalWeb"/>
        <w:numPr>
          <w:ilvl w:val="0"/>
          <w:numId w:val="3"/>
        </w:numPr>
        <w:shd w:val="clear" w:color="auto" w:fill="FFFFFF"/>
        <w:spacing w:before="0" w:beforeAutospacing="0" w:after="240" w:afterAutospacing="0"/>
        <w:jc w:val="both"/>
      </w:pPr>
      <w:r>
        <w:t>Y</w:t>
      </w:r>
      <w:r w:rsidRPr="00BB59D4">
        <w:t>atırımcıların katılma payı alım satımını gerçekleştirmek üzere banka nezdinde</w:t>
      </w:r>
      <w:r w:rsidRPr="00C432ED">
        <w:t xml:space="preserve"> altın yatırımı hesabına sahip olmaları ve işlemlerin bu hesap aracılığıyla gerçekleştirilmesi </w:t>
      </w:r>
      <w:r w:rsidR="00201C5E">
        <w:t>zorunludur</w:t>
      </w:r>
      <w:r w:rsidRPr="00C432ED">
        <w:t xml:space="preserve">. </w:t>
      </w:r>
    </w:p>
    <w:p w:rsidR="00D330E8" w:rsidRPr="004D4072" w:rsidRDefault="00D330E8" w:rsidP="0006161B">
      <w:pPr>
        <w:pStyle w:val="NormalWeb"/>
        <w:numPr>
          <w:ilvl w:val="0"/>
          <w:numId w:val="3"/>
        </w:numPr>
        <w:shd w:val="clear" w:color="auto" w:fill="FFFFFF"/>
        <w:spacing w:before="0" w:beforeAutospacing="0" w:after="240" w:afterAutospacing="0"/>
        <w:jc w:val="both"/>
      </w:pPr>
      <w:r w:rsidRPr="004D4072">
        <w:t xml:space="preserve">Birim pay değeri, Türk Lirası ve ilgili saflık derecesindeki altın cinsinden ilan edilir. </w:t>
      </w:r>
    </w:p>
    <w:p w:rsidR="00D330E8" w:rsidRPr="00D16001" w:rsidRDefault="00D330E8" w:rsidP="0006161B">
      <w:pPr>
        <w:pStyle w:val="NormalWeb"/>
        <w:numPr>
          <w:ilvl w:val="0"/>
          <w:numId w:val="3"/>
        </w:numPr>
        <w:shd w:val="clear" w:color="auto" w:fill="FFFFFF"/>
        <w:spacing w:before="0" w:beforeAutospacing="0" w:after="240" w:afterAutospacing="0"/>
        <w:jc w:val="both"/>
      </w:pPr>
      <w:r>
        <w:t xml:space="preserve">Fon </w:t>
      </w:r>
      <w:r w:rsidR="002513D2" w:rsidRPr="005D5277">
        <w:t>Tebliğ</w:t>
      </w:r>
      <w:r>
        <w:t>i</w:t>
      </w:r>
      <w:r w:rsidR="002513D2" w:rsidRPr="005D5277">
        <w:t>’</w:t>
      </w:r>
      <w:r>
        <w:t>n</w:t>
      </w:r>
      <w:r w:rsidR="002513D2" w:rsidRPr="005D5277">
        <w:t>in 19</w:t>
      </w:r>
      <w:r w:rsidR="00716975">
        <w:t xml:space="preserve">’uncu </w:t>
      </w:r>
      <w:r w:rsidR="002513D2" w:rsidRPr="005D5277">
        <w:t>maddesinin birinci fıkrası çerçevesinde, f</w:t>
      </w:r>
      <w:r w:rsidR="002513D2" w:rsidRPr="00D16001">
        <w:t>on portföyüne borsada işlem gören varlıkların alınması ve bu varlıkların alım satımlarının borsa kanalıyla yapılması zorunlu</w:t>
      </w:r>
      <w:r w:rsidR="002A3E84" w:rsidRPr="00D16001">
        <w:t xml:space="preserve">dur. </w:t>
      </w:r>
    </w:p>
    <w:p w:rsidR="000E22CC" w:rsidRDefault="002A3E84" w:rsidP="0006161B">
      <w:pPr>
        <w:pStyle w:val="NormalWeb"/>
        <w:numPr>
          <w:ilvl w:val="0"/>
          <w:numId w:val="3"/>
        </w:numPr>
        <w:shd w:val="clear" w:color="auto" w:fill="FFFFFF"/>
        <w:spacing w:before="0" w:beforeAutospacing="0" w:after="240" w:afterAutospacing="0"/>
        <w:jc w:val="both"/>
      </w:pPr>
      <w:r w:rsidRPr="000100CE">
        <w:t>Katılma payı alım satımın</w:t>
      </w:r>
      <w:r w:rsidR="00DB3A17">
        <w:t xml:space="preserve">da altın </w:t>
      </w:r>
      <w:r w:rsidR="008408A1">
        <w:t>kullanımına ilişkin esaslara</w:t>
      </w:r>
      <w:r w:rsidRPr="000100CE">
        <w:t xml:space="preserve"> fon izahnamesinde yer verilir. </w:t>
      </w:r>
    </w:p>
    <w:p w:rsidR="00801384" w:rsidRDefault="009129F5" w:rsidP="005845F8">
      <w:pPr>
        <w:pStyle w:val="Heading2"/>
        <w:spacing w:after="240"/>
      </w:pPr>
      <w:bookmarkStart w:id="193" w:name="_Toc130312581"/>
      <w:bookmarkStart w:id="194" w:name="_Toc130312714"/>
      <w:r>
        <w:t>6</w:t>
      </w:r>
      <w:r w:rsidR="001908E2">
        <w:t>.</w:t>
      </w:r>
      <w:r w:rsidR="004E408F">
        <w:t>5</w:t>
      </w:r>
      <w:r w:rsidR="006509D3" w:rsidRPr="000100CE">
        <w:t xml:space="preserve">. </w:t>
      </w:r>
      <w:r w:rsidR="000A5AF3">
        <w:t xml:space="preserve">(Değişiklik: 01.03.2018 tarih ve 9/316 sayılı Kurul Kararı ile) </w:t>
      </w:r>
      <w:r w:rsidR="00DB3A17" w:rsidRPr="000100CE">
        <w:t>Promosyon</w:t>
      </w:r>
      <w:bookmarkEnd w:id="193"/>
      <w:bookmarkEnd w:id="194"/>
    </w:p>
    <w:p w:rsidR="00801384" w:rsidRPr="000100CE" w:rsidRDefault="001841CD" w:rsidP="005845F8">
      <w:pPr>
        <w:pStyle w:val="NormalWeb"/>
        <w:shd w:val="clear" w:color="auto" w:fill="FFFFFF"/>
        <w:spacing w:before="0" w:beforeAutospacing="0" w:after="240" w:afterAutospacing="0"/>
        <w:ind w:firstLine="708"/>
        <w:jc w:val="both"/>
      </w:pPr>
      <w:r w:rsidRPr="001841CD">
        <w:t>Katılma paylarının Fon dağıtımını gerçekleştiren kurumlar tarafından fon için</w:t>
      </w:r>
      <w:r w:rsidRPr="001841CD">
        <w:rPr>
          <w:i/>
        </w:rPr>
        <w:t xml:space="preserve"> </w:t>
      </w:r>
      <w:r w:rsidR="00DB3A17">
        <w:t>y</w:t>
      </w:r>
      <w:r w:rsidR="00801384" w:rsidRPr="000100CE">
        <w:t>atırımcılara ek menfaat sağlanması amacıyla promosyon düzenlenme</w:t>
      </w:r>
      <w:r w:rsidR="00A94EA1">
        <w:t>k istenmesi halinde</w:t>
      </w:r>
      <w:r w:rsidR="00DB3A17">
        <w:t>;</w:t>
      </w:r>
    </w:p>
    <w:p w:rsidR="001841CD" w:rsidRPr="001841CD" w:rsidRDefault="00A94EA1" w:rsidP="001841CD">
      <w:pPr>
        <w:pStyle w:val="NormalWeb"/>
        <w:numPr>
          <w:ilvl w:val="2"/>
          <w:numId w:val="6"/>
        </w:numPr>
        <w:shd w:val="clear" w:color="auto" w:fill="FFFFFF"/>
        <w:spacing w:before="0" w:beforeAutospacing="0" w:after="160" w:afterAutospacing="0" w:line="259" w:lineRule="auto"/>
        <w:ind w:left="709" w:hanging="283"/>
        <w:jc w:val="both"/>
      </w:pPr>
      <w:r>
        <w:t xml:space="preserve">Promosyon uygulamasının esaslarına </w:t>
      </w:r>
      <w:r w:rsidR="001841CD" w:rsidRPr="001841CD">
        <w:t xml:space="preserve">yer verilen duyuru metninin onaylanması talebiyle fon kurucusu ile dağıtım kuruluşu tarafından Kurula başvurulur. Kurulca onaylı duyuru metni izin yazısının Kurucu tarafından tebellüğ edildiği tarihi izleyen 10 iş günü içinde Fon’un KAP sayfasında ve Kurucu’nun ve dağıtıcı kurumun resmi internet sitesinde ilan edilir. Sadece nitelikli yatırımcılara satılan fonlar ile özel fonlara yönelik promosyonlarda ise Kurulca onaylı duyuru metni promosyona başlanmadan önce en uygun haberleşme vasıtası ile yatırımcılara iletilir. </w:t>
      </w:r>
    </w:p>
    <w:p w:rsidR="00A94EA1" w:rsidRPr="000100CE" w:rsidRDefault="001841CD" w:rsidP="001841CD">
      <w:pPr>
        <w:pStyle w:val="NormalWeb"/>
        <w:numPr>
          <w:ilvl w:val="2"/>
          <w:numId w:val="6"/>
        </w:numPr>
        <w:shd w:val="clear" w:color="auto" w:fill="FFFFFF"/>
        <w:spacing w:before="0" w:beforeAutospacing="0" w:after="160" w:afterAutospacing="0" w:line="259" w:lineRule="auto"/>
        <w:ind w:left="709" w:hanging="283"/>
        <w:jc w:val="both"/>
      </w:pPr>
      <w:r>
        <w:t xml:space="preserve">Duyuru metninde </w:t>
      </w:r>
      <w:r w:rsidR="00A94EA1" w:rsidRPr="000100CE">
        <w:t>promosyon yönteminin uygula</w:t>
      </w:r>
      <w:r w:rsidR="00A94EA1">
        <w:t>n</w:t>
      </w:r>
      <w:r w:rsidR="00A94EA1" w:rsidRPr="000100CE">
        <w:t>ma esasları</w:t>
      </w:r>
      <w:r w:rsidR="00A94EA1">
        <w:t>na,</w:t>
      </w:r>
      <w:r w:rsidR="00A94EA1" w:rsidRPr="000100CE">
        <w:t xml:space="preserve"> tam ve doğru olarak,</w:t>
      </w:r>
      <w:r w:rsidR="00193C0B">
        <w:t xml:space="preserve"> </w:t>
      </w:r>
      <w:r w:rsidR="00A94EA1" w:rsidRPr="000100CE">
        <w:t xml:space="preserve">abartılı ve yanıltıcı </w:t>
      </w:r>
      <w:r w:rsidR="00A94EA1">
        <w:t xml:space="preserve">olmayacak şekilde yer verilmesi gerekir. </w:t>
      </w:r>
    </w:p>
    <w:p w:rsidR="00E34808" w:rsidRPr="000100CE" w:rsidRDefault="00801384" w:rsidP="0006161B">
      <w:pPr>
        <w:pStyle w:val="NormalWeb"/>
        <w:numPr>
          <w:ilvl w:val="2"/>
          <w:numId w:val="6"/>
        </w:numPr>
        <w:shd w:val="clear" w:color="auto" w:fill="FFFFFF"/>
        <w:spacing w:before="0" w:beforeAutospacing="0" w:after="240" w:afterAutospacing="0"/>
        <w:ind w:left="709" w:hanging="283"/>
        <w:jc w:val="both"/>
      </w:pPr>
      <w:r w:rsidRPr="000100CE">
        <w:t>Promosyon</w:t>
      </w:r>
      <w:r w:rsidR="00DB3A17">
        <w:t>un</w:t>
      </w:r>
      <w:r w:rsidRPr="000100CE">
        <w:t xml:space="preserve"> uygulandığı dönem boyunca, kurucunun fondan tahsil edeceği yönetim ücreti artırıl</w:t>
      </w:r>
      <w:r w:rsidR="003E11AD" w:rsidRPr="000100CE">
        <w:t>amaz</w:t>
      </w:r>
      <w:r w:rsidR="00DB3A17">
        <w:t>.</w:t>
      </w:r>
    </w:p>
    <w:p w:rsidR="00DB3A17" w:rsidRPr="000100CE" w:rsidRDefault="00DB3A17" w:rsidP="0006161B">
      <w:pPr>
        <w:pStyle w:val="NormalWeb"/>
        <w:numPr>
          <w:ilvl w:val="2"/>
          <w:numId w:val="6"/>
        </w:numPr>
        <w:shd w:val="clear" w:color="auto" w:fill="FFFFFF"/>
        <w:spacing w:before="0" w:beforeAutospacing="0" w:after="240" w:afterAutospacing="0"/>
        <w:ind w:left="709" w:hanging="283"/>
        <w:jc w:val="both"/>
      </w:pPr>
      <w:r>
        <w:t>P</w:t>
      </w:r>
      <w:r w:rsidR="00801384" w:rsidRPr="000100CE">
        <w:t>romosyon</w:t>
      </w:r>
      <w:r>
        <w:t xml:space="preserve">a </w:t>
      </w:r>
      <w:r w:rsidR="00801384" w:rsidRPr="000100CE">
        <w:t>ilişkin maliyetler fona yansıtıl</w:t>
      </w:r>
      <w:r w:rsidR="003E11AD" w:rsidRPr="000100CE">
        <w:t>amaz</w:t>
      </w:r>
      <w:r>
        <w:t>.</w:t>
      </w:r>
    </w:p>
    <w:p w:rsidR="00DB3A17" w:rsidRDefault="00801384" w:rsidP="0006161B">
      <w:pPr>
        <w:pStyle w:val="NormalWeb"/>
        <w:numPr>
          <w:ilvl w:val="2"/>
          <w:numId w:val="6"/>
        </w:numPr>
        <w:shd w:val="clear" w:color="auto" w:fill="FFFFFF"/>
        <w:spacing w:before="0" w:beforeAutospacing="0" w:after="240" w:afterAutospacing="0"/>
        <w:ind w:left="709" w:hanging="283"/>
        <w:jc w:val="both"/>
      </w:pPr>
      <w:r w:rsidRPr="000100CE">
        <w:t>Promosyonla</w:t>
      </w:r>
      <w:r w:rsidR="00DB3A17">
        <w:t xml:space="preserve"> ilgili </w:t>
      </w:r>
      <w:r w:rsidRPr="000100CE">
        <w:t>ilan ve reklamlar</w:t>
      </w:r>
      <w:r w:rsidR="00DB3A17">
        <w:t>da asgari olarak aşağıdaki bilgiler yer alır:</w:t>
      </w:r>
    </w:p>
    <w:p w:rsidR="00DB3A17" w:rsidRDefault="003C1A7F" w:rsidP="0006161B">
      <w:pPr>
        <w:pStyle w:val="NormalWeb"/>
        <w:numPr>
          <w:ilvl w:val="0"/>
          <w:numId w:val="8"/>
        </w:numPr>
        <w:shd w:val="clear" w:color="auto" w:fill="FFFFFF"/>
        <w:spacing w:before="0" w:beforeAutospacing="0" w:after="0" w:afterAutospacing="0"/>
        <w:ind w:left="709" w:firstLine="567"/>
        <w:jc w:val="both"/>
      </w:pPr>
      <w:r>
        <w:t>F</w:t>
      </w:r>
      <w:r w:rsidR="00DB3A17">
        <w:t>onun yatırım</w:t>
      </w:r>
      <w:r w:rsidR="00DB3A17" w:rsidRPr="000100CE">
        <w:t xml:space="preserve"> stratejisi, </w:t>
      </w:r>
    </w:p>
    <w:p w:rsidR="00DB3A17" w:rsidRDefault="003C1A7F" w:rsidP="0006161B">
      <w:pPr>
        <w:pStyle w:val="NormalWeb"/>
        <w:numPr>
          <w:ilvl w:val="0"/>
          <w:numId w:val="8"/>
        </w:numPr>
        <w:shd w:val="clear" w:color="auto" w:fill="FFFFFF"/>
        <w:spacing w:before="0" w:beforeAutospacing="0" w:after="0" w:afterAutospacing="0"/>
        <w:ind w:left="709" w:firstLine="567"/>
        <w:jc w:val="both"/>
      </w:pPr>
      <w:r>
        <w:t>F</w:t>
      </w:r>
      <w:r w:rsidR="00801384" w:rsidRPr="000100CE">
        <w:t>onun getirisinin yatırım stratejisi</w:t>
      </w:r>
      <w:r w:rsidR="00AC7EF8">
        <w:t xml:space="preserve"> </w:t>
      </w:r>
      <w:r w:rsidR="00801384" w:rsidRPr="000100CE">
        <w:t>ve piyasa koşullarına bağlı olarak değişebileceği</w:t>
      </w:r>
      <w:r w:rsidR="003E11AD" w:rsidRPr="000100CE">
        <w:t>ne ilişkin</w:t>
      </w:r>
      <w:r w:rsidR="00801384" w:rsidRPr="000100CE">
        <w:t xml:space="preserve"> ifade</w:t>
      </w:r>
      <w:r w:rsidR="00DB3A17">
        <w:t>,</w:t>
      </w:r>
    </w:p>
    <w:p w:rsidR="00DB3A17" w:rsidRDefault="003C1A7F" w:rsidP="0006161B">
      <w:pPr>
        <w:pStyle w:val="NormalWeb"/>
        <w:numPr>
          <w:ilvl w:val="0"/>
          <w:numId w:val="8"/>
        </w:numPr>
        <w:shd w:val="clear" w:color="auto" w:fill="FFFFFF"/>
        <w:spacing w:before="0" w:beforeAutospacing="0" w:after="0" w:afterAutospacing="0"/>
        <w:ind w:left="709" w:firstLine="567"/>
        <w:jc w:val="both"/>
      </w:pPr>
      <w:r>
        <w:t>F</w:t>
      </w:r>
      <w:r w:rsidR="00DB3A17" w:rsidRPr="000100CE">
        <w:t>ondan ta</w:t>
      </w:r>
      <w:r w:rsidR="00DB3A17">
        <w:t>hsil edilen yönetim ücreti ve toplam gider oranı,</w:t>
      </w:r>
    </w:p>
    <w:p w:rsidR="0018492E" w:rsidRDefault="0018492E" w:rsidP="0006161B">
      <w:pPr>
        <w:pStyle w:val="NormalWeb"/>
        <w:numPr>
          <w:ilvl w:val="0"/>
          <w:numId w:val="8"/>
        </w:numPr>
        <w:shd w:val="clear" w:color="auto" w:fill="FFFFFF"/>
        <w:spacing w:before="0" w:beforeAutospacing="0" w:after="0" w:afterAutospacing="0"/>
        <w:ind w:left="709" w:firstLine="567"/>
        <w:jc w:val="both"/>
      </w:pPr>
      <w:r>
        <w:t xml:space="preserve">Promosyona ilişkin detaylı bilgilere </w:t>
      </w:r>
      <w:r w:rsidR="001841CD">
        <w:t xml:space="preserve">duyuru metninden </w:t>
      </w:r>
      <w:r>
        <w:t>ulaşılabileceğine ilişkin bilgi,</w:t>
      </w:r>
    </w:p>
    <w:p w:rsidR="00DB3A17" w:rsidRDefault="001841CD" w:rsidP="0006161B">
      <w:pPr>
        <w:pStyle w:val="NormalWeb"/>
        <w:numPr>
          <w:ilvl w:val="0"/>
          <w:numId w:val="8"/>
        </w:numPr>
        <w:shd w:val="clear" w:color="auto" w:fill="FFFFFF"/>
        <w:spacing w:before="0" w:beforeAutospacing="0" w:after="0" w:afterAutospacing="0"/>
        <w:ind w:left="709" w:firstLine="567"/>
        <w:jc w:val="both"/>
      </w:pPr>
      <w:r>
        <w:t>İzahname ve y</w:t>
      </w:r>
      <w:r w:rsidR="003E11AD" w:rsidRPr="000100CE">
        <w:t xml:space="preserve">atırımcı bilgi formuna nereden ulaşılabileceğine ilişkin </w:t>
      </w:r>
      <w:r w:rsidR="00DB3A17">
        <w:t>bilgi.</w:t>
      </w:r>
    </w:p>
    <w:p w:rsidR="00B41810" w:rsidRDefault="00B41810" w:rsidP="0018492E">
      <w:pPr>
        <w:pStyle w:val="NormalWeb"/>
        <w:shd w:val="clear" w:color="auto" w:fill="FFFFFF"/>
        <w:spacing w:before="0" w:beforeAutospacing="0" w:after="0" w:afterAutospacing="0"/>
        <w:ind w:left="1276"/>
        <w:jc w:val="both"/>
      </w:pPr>
    </w:p>
    <w:p w:rsidR="00644651" w:rsidRPr="004552FF" w:rsidRDefault="002C41A2" w:rsidP="0006161B">
      <w:pPr>
        <w:pStyle w:val="NormalWeb"/>
        <w:numPr>
          <w:ilvl w:val="2"/>
          <w:numId w:val="6"/>
        </w:numPr>
        <w:shd w:val="clear" w:color="auto" w:fill="FFFFFF"/>
        <w:spacing w:before="0" w:beforeAutospacing="0" w:after="240" w:afterAutospacing="0"/>
        <w:ind w:left="709" w:hanging="283"/>
        <w:jc w:val="both"/>
        <w:rPr>
          <w:b/>
          <w:u w:val="single"/>
        </w:rPr>
      </w:pPr>
      <w:r w:rsidRPr="000100CE">
        <w:t>P</w:t>
      </w:r>
      <w:r w:rsidR="00801384" w:rsidRPr="000100CE">
        <w:t>romosyon</w:t>
      </w:r>
      <w:r w:rsidR="003B5A19">
        <w:t xml:space="preserve">a başlanmadan </w:t>
      </w:r>
      <w:r w:rsidR="00801384" w:rsidRPr="000100CE">
        <w:t xml:space="preserve">önce, promosyon yöntemi, süresi, bu faaliyete ilişkin bütçe tahminleri ile </w:t>
      </w:r>
      <w:r w:rsidR="003B5A19">
        <w:t xml:space="preserve">promosyon için </w:t>
      </w:r>
      <w:r w:rsidR="00801384" w:rsidRPr="000100CE">
        <w:t>tahsis edilen kayna</w:t>
      </w:r>
      <w:r w:rsidRPr="000100CE">
        <w:t>k</w:t>
      </w:r>
      <w:r w:rsidR="00801384" w:rsidRPr="000100CE">
        <w:t xml:space="preserve"> belirlen</w:t>
      </w:r>
      <w:r w:rsidRPr="000100CE">
        <w:t>erek</w:t>
      </w:r>
      <w:r w:rsidR="00801384" w:rsidRPr="000100CE">
        <w:t xml:space="preserve"> ilgili bilgi ve belgeler Kurucu </w:t>
      </w:r>
      <w:r w:rsidR="001841CD">
        <w:t xml:space="preserve">ve dağıtıcı kurum </w:t>
      </w:r>
      <w:r w:rsidR="00801384" w:rsidRPr="000100CE">
        <w:t>nezdinde muhafaza edil</w:t>
      </w:r>
      <w:r w:rsidRPr="000100CE">
        <w:t xml:space="preserve">ir. </w:t>
      </w:r>
    </w:p>
    <w:p w:rsidR="004552FF" w:rsidRDefault="004552FF" w:rsidP="004552FF">
      <w:pPr>
        <w:pStyle w:val="NormalWeb"/>
        <w:shd w:val="clear" w:color="auto" w:fill="FFFFFF"/>
        <w:spacing w:before="0" w:beforeAutospacing="0" w:after="240" w:afterAutospacing="0"/>
        <w:ind w:left="709"/>
        <w:jc w:val="both"/>
      </w:pPr>
    </w:p>
    <w:p w:rsidR="004552FF" w:rsidRPr="00B52B0D" w:rsidRDefault="004552FF" w:rsidP="004552FF">
      <w:pPr>
        <w:pStyle w:val="NormalWeb"/>
        <w:shd w:val="clear" w:color="auto" w:fill="FFFFFF"/>
        <w:spacing w:before="0" w:beforeAutospacing="0" w:after="240" w:afterAutospacing="0"/>
        <w:ind w:left="709"/>
        <w:jc w:val="both"/>
        <w:rPr>
          <w:b/>
          <w:u w:val="single"/>
        </w:rPr>
      </w:pPr>
    </w:p>
    <w:p w:rsidR="00153B47" w:rsidRPr="00153B47" w:rsidRDefault="009129F5" w:rsidP="0018492E">
      <w:pPr>
        <w:pStyle w:val="Heading2"/>
        <w:jc w:val="both"/>
      </w:pPr>
      <w:bookmarkStart w:id="195" w:name="_Toc130312582"/>
      <w:bookmarkStart w:id="196" w:name="_Toc130312715"/>
      <w:r>
        <w:t>6</w:t>
      </w:r>
      <w:r w:rsidR="00644651" w:rsidRPr="00644651">
        <w:t>.6. Nemalandırma</w:t>
      </w:r>
      <w:bookmarkEnd w:id="195"/>
      <w:bookmarkEnd w:id="196"/>
    </w:p>
    <w:p w:rsidR="00153B47" w:rsidRDefault="00153B47" w:rsidP="0018492E">
      <w:pPr>
        <w:pStyle w:val="Default"/>
        <w:ind w:left="426" w:hanging="1"/>
        <w:jc w:val="both"/>
        <w:rPr>
          <w:color w:val="auto"/>
        </w:rPr>
      </w:pPr>
    </w:p>
    <w:p w:rsidR="00153B47" w:rsidRPr="00EE7CED" w:rsidRDefault="00153B47" w:rsidP="00112100">
      <w:pPr>
        <w:pStyle w:val="Default"/>
        <w:ind w:left="709" w:hanging="284"/>
        <w:jc w:val="both"/>
        <w:rPr>
          <w:color w:val="auto"/>
        </w:rPr>
      </w:pPr>
      <w:r w:rsidRPr="00EE7CED">
        <w:rPr>
          <w:color w:val="auto"/>
        </w:rPr>
        <w:t xml:space="preserve">a) </w:t>
      </w:r>
      <w:r w:rsidR="00DB7FEF" w:rsidRPr="009168AA">
        <w:rPr>
          <w:b/>
        </w:rPr>
        <w:t xml:space="preserve">(Değişiklik: </w:t>
      </w:r>
      <w:r w:rsidR="00DB7FEF">
        <w:rPr>
          <w:b/>
        </w:rPr>
        <w:t xml:space="preserve">21.03.2023 tarih ve </w:t>
      </w:r>
      <w:r w:rsidR="001D3908" w:rsidRPr="001D3908">
        <w:rPr>
          <w:b/>
        </w:rPr>
        <w:t>17/366</w:t>
      </w:r>
      <w:r w:rsidR="00DB7FEF" w:rsidRPr="009168AA">
        <w:rPr>
          <w:b/>
        </w:rPr>
        <w:t xml:space="preserve"> sayılı Kurul Kararı ile)</w:t>
      </w:r>
      <w:r w:rsidR="00DB7FEF">
        <w:rPr>
          <w:b/>
        </w:rPr>
        <w:t xml:space="preserve"> </w:t>
      </w:r>
      <w:r w:rsidRPr="00EE7CED">
        <w:rPr>
          <w:color w:val="auto"/>
        </w:rPr>
        <w:t>Katılma payı alım satım emirleri, emrin verilmesini takip eden ilk hesaplamada bulunacak pay fiyatı üzerinden yerine getirilen fonlarda</w:t>
      </w:r>
      <w:r>
        <w:rPr>
          <w:color w:val="auto"/>
        </w:rPr>
        <w:t xml:space="preserve"> (ihbarlı fonlar)</w:t>
      </w:r>
      <w:r w:rsidRPr="00EE7CED">
        <w:rPr>
          <w:color w:val="auto"/>
        </w:rPr>
        <w:t>, katılma payı alım talimatı karşılığında tahsil edilen bedel</w:t>
      </w:r>
      <w:r w:rsidR="00DB7FEF">
        <w:rPr>
          <w:color w:val="auto"/>
        </w:rPr>
        <w:t xml:space="preserve"> unvanında “para piyasası” ve “kısa vadeli”</w:t>
      </w:r>
      <w:r w:rsidRPr="00EE7CED">
        <w:rPr>
          <w:color w:val="auto"/>
        </w:rPr>
        <w:t xml:space="preserve"> </w:t>
      </w:r>
      <w:r w:rsidR="00DB7FEF">
        <w:rPr>
          <w:color w:val="auto"/>
        </w:rPr>
        <w:t xml:space="preserve">ibaresi yer alan fonlar veya ters repoda </w:t>
      </w:r>
      <w:r w:rsidRPr="00EE7CED">
        <w:rPr>
          <w:color w:val="auto"/>
        </w:rPr>
        <w:t>nemalandırıl</w:t>
      </w:r>
      <w:r w:rsidR="00DB7FEF">
        <w:rPr>
          <w:color w:val="auto"/>
        </w:rPr>
        <w:t>ır.</w:t>
      </w:r>
    </w:p>
    <w:p w:rsidR="00153B47" w:rsidRPr="00EE7CED" w:rsidRDefault="00153B47" w:rsidP="00112100">
      <w:pPr>
        <w:pStyle w:val="Default"/>
        <w:ind w:left="709" w:hanging="284"/>
        <w:jc w:val="both"/>
        <w:rPr>
          <w:color w:val="auto"/>
        </w:rPr>
      </w:pPr>
    </w:p>
    <w:p w:rsidR="00435994" w:rsidRPr="00EE7CED" w:rsidRDefault="00153B47" w:rsidP="00435994">
      <w:pPr>
        <w:pStyle w:val="Default"/>
        <w:ind w:left="709" w:hanging="284"/>
        <w:jc w:val="both"/>
        <w:rPr>
          <w:color w:val="auto"/>
        </w:rPr>
      </w:pPr>
      <w:r w:rsidRPr="00EE7CED">
        <w:rPr>
          <w:color w:val="auto"/>
        </w:rPr>
        <w:t xml:space="preserve">b) </w:t>
      </w:r>
      <w:r w:rsidR="00435994" w:rsidRPr="009168AA">
        <w:rPr>
          <w:b/>
        </w:rPr>
        <w:t xml:space="preserve">(Değişiklik: </w:t>
      </w:r>
      <w:r w:rsidR="009168AA" w:rsidRPr="009168AA">
        <w:rPr>
          <w:b/>
        </w:rPr>
        <w:t xml:space="preserve">23.05.2016 tarih ve 17/573 sayılı Kurul Kararı ile) </w:t>
      </w:r>
      <w:r w:rsidR="00435994" w:rsidRPr="008D37D1">
        <w:rPr>
          <w:color w:val="auto"/>
        </w:rPr>
        <w:t>Faizsiz yatırım araçlarına yönelik tercihte bulunan yatırımcılara satılacak fonlar tarafından pay alım talimatı karşılığında yatırımcılardan tahsil edilen tutarlar söz konusu tutarların nemalandırılabileceği faizsiz yatırım araçlarının mevcut olmaması halinde nemalandırılmaz.</w:t>
      </w:r>
      <w:r w:rsidR="00435994">
        <w:rPr>
          <w:color w:val="auto"/>
        </w:rPr>
        <w:t xml:space="preserve"> </w:t>
      </w:r>
    </w:p>
    <w:p w:rsidR="00153B47" w:rsidRPr="00EE7CED" w:rsidRDefault="00153B47" w:rsidP="00112100">
      <w:pPr>
        <w:pStyle w:val="Default"/>
        <w:ind w:left="709" w:hanging="284"/>
        <w:jc w:val="both"/>
        <w:rPr>
          <w:color w:val="auto"/>
        </w:rPr>
      </w:pPr>
    </w:p>
    <w:p w:rsidR="00153B47" w:rsidRPr="00EE7CED" w:rsidRDefault="00153B47" w:rsidP="00112100">
      <w:pPr>
        <w:pStyle w:val="Default"/>
        <w:ind w:left="709" w:hanging="284"/>
        <w:jc w:val="both"/>
        <w:rPr>
          <w:color w:val="auto"/>
        </w:rPr>
      </w:pPr>
      <w:r w:rsidRPr="00713D27">
        <w:rPr>
          <w:color w:val="auto"/>
        </w:rPr>
        <w:t xml:space="preserve">c) </w:t>
      </w:r>
      <w:r w:rsidR="0018492E" w:rsidRPr="00713D27">
        <w:rPr>
          <w:color w:val="auto"/>
        </w:rPr>
        <w:t>F</w:t>
      </w:r>
      <w:r w:rsidRPr="00713D27">
        <w:rPr>
          <w:color w:val="auto"/>
        </w:rPr>
        <w:t>onlar tarafından,</w:t>
      </w:r>
      <w:r w:rsidR="00193C0B" w:rsidRPr="00713D27">
        <w:rPr>
          <w:color w:val="auto"/>
        </w:rPr>
        <w:t xml:space="preserve"> </w:t>
      </w:r>
      <w:r w:rsidR="00ED364A" w:rsidRPr="00713D27">
        <w:rPr>
          <w:color w:val="auto"/>
        </w:rPr>
        <w:t xml:space="preserve">operasyonel altyapının elverişli olması halinde, </w:t>
      </w:r>
      <w:r w:rsidR="00500D2A" w:rsidRPr="00713D27">
        <w:rPr>
          <w:color w:val="auto"/>
        </w:rPr>
        <w:t>yatırımcının talebi üzerine ve yazılı talimatının alınması kaydıyla</w:t>
      </w:r>
      <w:r w:rsidR="00ED364A" w:rsidRPr="00713D27">
        <w:rPr>
          <w:color w:val="auto"/>
        </w:rPr>
        <w:t>, katılma payı alım talimatı karşılığında tahsil edilen bedelin nemalandırılmaması mümkündür.</w:t>
      </w:r>
    </w:p>
    <w:p w:rsidR="00153B47" w:rsidRPr="00EE7CED" w:rsidRDefault="00153B47" w:rsidP="00153B47">
      <w:pPr>
        <w:pStyle w:val="Default"/>
        <w:ind w:left="426" w:hanging="1"/>
        <w:jc w:val="both"/>
        <w:rPr>
          <w:color w:val="auto"/>
        </w:rPr>
      </w:pPr>
    </w:p>
    <w:p w:rsidR="00153B47" w:rsidRPr="00EE7CED" w:rsidRDefault="00153B47" w:rsidP="00153B47">
      <w:pPr>
        <w:pStyle w:val="Default"/>
        <w:ind w:left="426" w:hanging="1"/>
        <w:jc w:val="both"/>
        <w:rPr>
          <w:color w:val="auto"/>
        </w:rPr>
      </w:pPr>
      <w:r w:rsidRPr="00EE7CED">
        <w:rPr>
          <w:color w:val="auto"/>
        </w:rPr>
        <w:t xml:space="preserve">d) </w:t>
      </w:r>
      <w:r w:rsidR="0018492E">
        <w:rPr>
          <w:color w:val="auto"/>
        </w:rPr>
        <w:t>İ</w:t>
      </w:r>
      <w:r w:rsidRPr="00EE7CED">
        <w:rPr>
          <w:color w:val="auto"/>
        </w:rPr>
        <w:t>zahnamede ve yatırımcı bilgi formunda nemalandırma esaslarına yer verilir.</w:t>
      </w:r>
    </w:p>
    <w:p w:rsidR="004E408F" w:rsidRDefault="004E408F" w:rsidP="00644651">
      <w:pPr>
        <w:pStyle w:val="Default"/>
        <w:jc w:val="both"/>
        <w:rPr>
          <w:b/>
          <w:u w:val="single"/>
        </w:rPr>
      </w:pPr>
    </w:p>
    <w:p w:rsidR="00E550F4" w:rsidRPr="00E550F4" w:rsidRDefault="00E550F4" w:rsidP="00E550F4">
      <w:pPr>
        <w:pStyle w:val="Heading2"/>
        <w:spacing w:after="240"/>
      </w:pPr>
      <w:bookmarkStart w:id="197" w:name="_Toc130312583"/>
      <w:bookmarkStart w:id="198" w:name="_Toc130312716"/>
      <w:r w:rsidRPr="00E550F4">
        <w:t xml:space="preserve">6.7. </w:t>
      </w:r>
      <w:r>
        <w:t>Katılma Paylarına İlişkin MKK Nezdinde Yatırımcı Blokajı</w:t>
      </w:r>
      <w:bookmarkEnd w:id="197"/>
      <w:bookmarkEnd w:id="198"/>
    </w:p>
    <w:p w:rsidR="00E550F4" w:rsidRDefault="00E550F4" w:rsidP="00E550F4">
      <w:pPr>
        <w:widowControl w:val="0"/>
        <w:tabs>
          <w:tab w:val="left" w:pos="709"/>
        </w:tabs>
        <w:spacing w:line="240" w:lineRule="auto"/>
        <w:jc w:val="both"/>
        <w:rPr>
          <w:rFonts w:ascii="Times New Roman" w:eastAsia="Times New Roman" w:hAnsi="Times New Roman" w:cs="Times New Roman"/>
          <w:sz w:val="24"/>
          <w:szCs w:val="24"/>
          <w:lang w:eastAsia="tr-TR"/>
        </w:rPr>
      </w:pPr>
      <w:r w:rsidRPr="00713D27">
        <w:rPr>
          <w:rFonts w:ascii="Times New Roman" w:eastAsia="Times New Roman" w:hAnsi="Times New Roman" w:cs="Times New Roman"/>
          <w:sz w:val="24"/>
          <w:szCs w:val="24"/>
          <w:lang w:eastAsia="tr-TR"/>
        </w:rPr>
        <w:tab/>
        <w:t>Kısa vadeli borçlanma araçları fonları ile para piyasası fonlarının katılma payları</w:t>
      </w:r>
      <w:r w:rsidR="00713D27" w:rsidRPr="00713D27">
        <w:rPr>
          <w:rFonts w:ascii="Times New Roman" w:eastAsia="Times New Roman" w:hAnsi="Times New Roman" w:cs="Times New Roman"/>
          <w:sz w:val="24"/>
          <w:szCs w:val="24"/>
          <w:lang w:eastAsia="tr-TR"/>
        </w:rPr>
        <w:t xml:space="preserve"> </w:t>
      </w:r>
      <w:r w:rsidR="006A5481">
        <w:rPr>
          <w:rFonts w:ascii="Times New Roman" w:eastAsia="Times New Roman" w:hAnsi="Times New Roman" w:cs="Times New Roman"/>
          <w:sz w:val="24"/>
          <w:szCs w:val="24"/>
          <w:lang w:eastAsia="tr-TR"/>
        </w:rPr>
        <w:t>Kurul</w:t>
      </w:r>
      <w:r w:rsidR="004B7921">
        <w:rPr>
          <w:rFonts w:ascii="Times New Roman" w:eastAsia="Times New Roman" w:hAnsi="Times New Roman" w:cs="Times New Roman"/>
          <w:sz w:val="24"/>
          <w:szCs w:val="24"/>
          <w:lang w:eastAsia="tr-TR"/>
        </w:rPr>
        <w:t xml:space="preserve">un </w:t>
      </w:r>
      <w:r w:rsidR="00713D27" w:rsidRPr="00713D27">
        <w:rPr>
          <w:rFonts w:ascii="Times New Roman" w:eastAsia="Times New Roman" w:hAnsi="Times New Roman" w:cs="Times New Roman"/>
          <w:sz w:val="24"/>
          <w:szCs w:val="24"/>
          <w:lang w:eastAsia="tr-TR"/>
        </w:rPr>
        <w:t xml:space="preserve">kaydileştirmeye ilişkin düzenlemeleri kapsamında </w:t>
      </w:r>
      <w:r w:rsidRPr="00713D27">
        <w:rPr>
          <w:rFonts w:ascii="Times New Roman" w:eastAsia="Times New Roman" w:hAnsi="Times New Roman" w:cs="Times New Roman"/>
          <w:sz w:val="24"/>
          <w:szCs w:val="24"/>
          <w:lang w:eastAsia="tr-TR"/>
        </w:rPr>
        <w:t>MKK nezdinde yatırımcı blokajı uygulamasına konu edilmez.</w:t>
      </w:r>
    </w:p>
    <w:p w:rsidR="006A5481" w:rsidRPr="006A5481" w:rsidRDefault="00955F32" w:rsidP="006A5481">
      <w:pPr>
        <w:pStyle w:val="BlockText"/>
        <w:tabs>
          <w:tab w:val="left" w:pos="851"/>
        </w:tabs>
        <w:spacing w:line="240" w:lineRule="auto"/>
        <w:ind w:left="0" w:right="0" w:firstLine="708"/>
        <w:rPr>
          <w:rFonts w:ascii="Times New Roman" w:hAnsi="Times New Roman" w:cs="Times New Roman"/>
          <w:szCs w:val="24"/>
          <w:lang w:eastAsia="tr-TR"/>
        </w:rPr>
      </w:pPr>
      <w:r>
        <w:rPr>
          <w:rFonts w:ascii="Times New Roman" w:hAnsi="Times New Roman" w:cs="Times New Roman"/>
          <w:szCs w:val="24"/>
          <w:lang w:eastAsia="tr-TR"/>
        </w:rPr>
        <w:t>Bununla birlikte</w:t>
      </w:r>
      <w:r w:rsidR="006A5481" w:rsidRPr="006A5481">
        <w:rPr>
          <w:rFonts w:ascii="Times New Roman" w:hAnsi="Times New Roman" w:cs="Times New Roman"/>
          <w:szCs w:val="24"/>
          <w:lang w:eastAsia="tr-TR"/>
        </w:rPr>
        <w:t xml:space="preserve">, söz konusu fonların </w:t>
      </w:r>
      <w:r w:rsidR="006A5481">
        <w:rPr>
          <w:rFonts w:ascii="Times New Roman" w:hAnsi="Times New Roman" w:cs="Times New Roman"/>
          <w:szCs w:val="24"/>
          <w:lang w:eastAsia="tr-TR"/>
        </w:rPr>
        <w:t>katılma payı alım satım işlemlerine ilişkin</w:t>
      </w:r>
      <w:r w:rsidR="006A5481" w:rsidRPr="006A5481">
        <w:rPr>
          <w:rFonts w:ascii="Times New Roman" w:hAnsi="Times New Roman" w:cs="Times New Roman"/>
          <w:szCs w:val="24"/>
          <w:lang w:eastAsia="tr-TR"/>
        </w:rPr>
        <w:t xml:space="preserve"> MKK</w:t>
      </w:r>
      <w:r w:rsidR="006A5481">
        <w:rPr>
          <w:rFonts w:ascii="Times New Roman" w:hAnsi="Times New Roman" w:cs="Times New Roman"/>
          <w:szCs w:val="24"/>
          <w:lang w:eastAsia="tr-TR"/>
        </w:rPr>
        <w:t xml:space="preserve"> ile eş zamanlı bağlantı</w:t>
      </w:r>
      <w:r w:rsidR="006A5481" w:rsidRPr="006A5481">
        <w:rPr>
          <w:rFonts w:ascii="Times New Roman" w:hAnsi="Times New Roman" w:cs="Times New Roman"/>
          <w:szCs w:val="24"/>
          <w:lang w:eastAsia="tr-TR"/>
        </w:rPr>
        <w:t xml:space="preserve"> sağlanması halinde, </w:t>
      </w:r>
      <w:r>
        <w:rPr>
          <w:rFonts w:ascii="Times New Roman" w:hAnsi="Times New Roman" w:cs="Times New Roman"/>
          <w:szCs w:val="24"/>
          <w:lang w:eastAsia="tr-TR"/>
        </w:rPr>
        <w:t>söz konusu fonlara ilişkin</w:t>
      </w:r>
      <w:r w:rsidR="006A5481">
        <w:rPr>
          <w:rFonts w:ascii="Times New Roman" w:hAnsi="Times New Roman" w:cs="Times New Roman"/>
          <w:szCs w:val="24"/>
          <w:lang w:eastAsia="tr-TR"/>
        </w:rPr>
        <w:t xml:space="preserve"> yatırımcı blokajı uygulaması</w:t>
      </w:r>
      <w:r>
        <w:rPr>
          <w:rFonts w:ascii="Times New Roman" w:hAnsi="Times New Roman" w:cs="Times New Roman"/>
          <w:szCs w:val="24"/>
          <w:lang w:eastAsia="tr-TR"/>
        </w:rPr>
        <w:t xml:space="preserve"> </w:t>
      </w:r>
      <w:r w:rsidR="006A5481">
        <w:rPr>
          <w:rFonts w:ascii="Times New Roman" w:hAnsi="Times New Roman" w:cs="Times New Roman"/>
          <w:szCs w:val="24"/>
          <w:lang w:eastAsia="tr-TR"/>
        </w:rPr>
        <w:t>Kurul</w:t>
      </w:r>
      <w:r>
        <w:rPr>
          <w:rFonts w:ascii="Times New Roman" w:hAnsi="Times New Roman" w:cs="Times New Roman"/>
          <w:szCs w:val="24"/>
          <w:lang w:eastAsia="tr-TR"/>
        </w:rPr>
        <w:t>ca yeniden</w:t>
      </w:r>
      <w:r w:rsidR="006A5481">
        <w:rPr>
          <w:rFonts w:ascii="Times New Roman" w:hAnsi="Times New Roman" w:cs="Times New Roman"/>
          <w:szCs w:val="24"/>
          <w:lang w:eastAsia="tr-TR"/>
        </w:rPr>
        <w:t xml:space="preserve"> </w:t>
      </w:r>
      <w:r w:rsidR="006A5481" w:rsidRPr="006A5481">
        <w:rPr>
          <w:rFonts w:ascii="Times New Roman" w:hAnsi="Times New Roman" w:cs="Times New Roman"/>
          <w:szCs w:val="24"/>
          <w:lang w:eastAsia="tr-TR"/>
        </w:rPr>
        <w:t>değerlendirmeye</w:t>
      </w:r>
      <w:r w:rsidR="006A5481">
        <w:rPr>
          <w:rFonts w:ascii="Times New Roman" w:hAnsi="Times New Roman" w:cs="Times New Roman"/>
          <w:szCs w:val="24"/>
          <w:lang w:eastAsia="tr-TR"/>
        </w:rPr>
        <w:t xml:space="preserve"> </w:t>
      </w:r>
      <w:r>
        <w:rPr>
          <w:rFonts w:ascii="Times New Roman" w:hAnsi="Times New Roman" w:cs="Times New Roman"/>
          <w:szCs w:val="24"/>
          <w:lang w:eastAsia="tr-TR"/>
        </w:rPr>
        <w:t>alınabilir</w:t>
      </w:r>
      <w:r w:rsidR="006A5481">
        <w:rPr>
          <w:rFonts w:ascii="Times New Roman" w:hAnsi="Times New Roman" w:cs="Times New Roman"/>
          <w:szCs w:val="24"/>
          <w:lang w:eastAsia="tr-TR"/>
        </w:rPr>
        <w:t>.</w:t>
      </w:r>
    </w:p>
    <w:p w:rsidR="00E550F4" w:rsidRDefault="00E550F4" w:rsidP="00644651">
      <w:pPr>
        <w:pStyle w:val="Default"/>
        <w:jc w:val="both"/>
        <w:rPr>
          <w:b/>
          <w:u w:val="single"/>
        </w:rPr>
      </w:pPr>
    </w:p>
    <w:p w:rsidR="008B5C06" w:rsidRDefault="009129F5" w:rsidP="00B568A0">
      <w:pPr>
        <w:pStyle w:val="Heading2"/>
        <w:spacing w:after="240"/>
      </w:pPr>
      <w:bookmarkStart w:id="199" w:name="_Toc130312584"/>
      <w:bookmarkStart w:id="200" w:name="_Toc130312717"/>
      <w:r>
        <w:t>6</w:t>
      </w:r>
      <w:r w:rsidR="008B5C06" w:rsidRPr="00290747">
        <w:t>.</w:t>
      </w:r>
      <w:r w:rsidR="00E550F4">
        <w:t>8</w:t>
      </w:r>
      <w:r w:rsidR="008B5C06" w:rsidRPr="00290747">
        <w:t xml:space="preserve">. </w:t>
      </w:r>
      <w:r w:rsidR="003C4A22">
        <w:t xml:space="preserve">(Değişiklik: 09.05.2019 tarih ve 27/621 sayılı Kurul Kararı ile) </w:t>
      </w:r>
      <w:r w:rsidR="00F45F13">
        <w:t>(Değişiklik: 05.12.2019 tarih ve 70/1567 sayılı Kurul Kararı ile)</w:t>
      </w:r>
      <w:r w:rsidR="005B53ED">
        <w:t xml:space="preserve"> (Değişiklik: 13.02.2020 tarih ve 10/232 sayılı Kurul Kararı ile) </w:t>
      </w:r>
      <w:r w:rsidR="00F45F13">
        <w:t>TEFAS</w:t>
      </w:r>
      <w:bookmarkEnd w:id="199"/>
      <w:bookmarkEnd w:id="200"/>
      <w:r w:rsidR="00F45F13">
        <w:t xml:space="preserve"> </w:t>
      </w:r>
      <w:r w:rsidR="003C4A22">
        <w:t xml:space="preserve"> </w:t>
      </w:r>
    </w:p>
    <w:p w:rsidR="008B5C06" w:rsidRPr="00290747" w:rsidRDefault="008B5C06" w:rsidP="004E408F">
      <w:pPr>
        <w:ind w:firstLine="708"/>
        <w:jc w:val="both"/>
        <w:rPr>
          <w:rFonts w:ascii="Times New Roman" w:hAnsi="Times New Roman" w:cs="Times New Roman"/>
          <w:sz w:val="24"/>
          <w:szCs w:val="24"/>
        </w:rPr>
      </w:pPr>
      <w:r w:rsidRPr="00290747">
        <w:rPr>
          <w:rFonts w:ascii="Times New Roman" w:hAnsi="Times New Roman" w:cs="Times New Roman"/>
          <w:sz w:val="24"/>
          <w:szCs w:val="24"/>
        </w:rPr>
        <w:t>Fon Tebliği</w:t>
      </w:r>
      <w:r w:rsidR="00290747">
        <w:rPr>
          <w:rFonts w:ascii="Times New Roman" w:hAnsi="Times New Roman" w:cs="Times New Roman"/>
          <w:sz w:val="24"/>
          <w:szCs w:val="24"/>
        </w:rPr>
        <w:t>’nin</w:t>
      </w:r>
      <w:r w:rsidRPr="00290747">
        <w:rPr>
          <w:rFonts w:ascii="Times New Roman" w:hAnsi="Times New Roman" w:cs="Times New Roman"/>
          <w:sz w:val="24"/>
          <w:szCs w:val="24"/>
        </w:rPr>
        <w:t xml:space="preserve"> 15</w:t>
      </w:r>
      <w:r w:rsidR="00371680">
        <w:rPr>
          <w:rFonts w:ascii="Times New Roman" w:hAnsi="Times New Roman" w:cs="Times New Roman"/>
          <w:sz w:val="24"/>
          <w:szCs w:val="24"/>
        </w:rPr>
        <w:t>’inci</w:t>
      </w:r>
      <w:r w:rsidRPr="00290747">
        <w:rPr>
          <w:rFonts w:ascii="Times New Roman" w:hAnsi="Times New Roman" w:cs="Times New Roman"/>
          <w:sz w:val="24"/>
          <w:szCs w:val="24"/>
        </w:rPr>
        <w:t xml:space="preserve"> maddesinin yedinci fıkrası çerçevesinde,</w:t>
      </w:r>
      <w:r w:rsidR="00290747">
        <w:rPr>
          <w:rFonts w:ascii="Times New Roman" w:hAnsi="Times New Roman" w:cs="Times New Roman"/>
          <w:sz w:val="24"/>
          <w:szCs w:val="24"/>
        </w:rPr>
        <w:t xml:space="preserve"> TEF</w:t>
      </w:r>
      <w:r w:rsidR="00935193">
        <w:rPr>
          <w:rFonts w:ascii="Times New Roman" w:hAnsi="Times New Roman" w:cs="Times New Roman"/>
          <w:sz w:val="24"/>
          <w:szCs w:val="24"/>
        </w:rPr>
        <w:t xml:space="preserve">AS’ta </w:t>
      </w:r>
      <w:r w:rsidR="00290747">
        <w:rPr>
          <w:rFonts w:ascii="Times New Roman" w:hAnsi="Times New Roman" w:cs="Times New Roman"/>
          <w:sz w:val="24"/>
          <w:szCs w:val="24"/>
        </w:rPr>
        <w:t>(Platform)</w:t>
      </w:r>
      <w:r w:rsidR="00935193" w:rsidDel="00935193">
        <w:rPr>
          <w:rFonts w:ascii="Times New Roman" w:hAnsi="Times New Roman" w:cs="Times New Roman"/>
          <w:sz w:val="24"/>
          <w:szCs w:val="24"/>
        </w:rPr>
        <w:t xml:space="preserve"> </w:t>
      </w:r>
      <w:r w:rsidRPr="00290747">
        <w:rPr>
          <w:rFonts w:ascii="Times New Roman" w:hAnsi="Times New Roman" w:cs="Times New Roman"/>
          <w:sz w:val="24"/>
          <w:szCs w:val="24"/>
        </w:rPr>
        <w:t xml:space="preserve"> işlem görecek fonlar, sistemin faaliyete geçişi ve uygulanacak aracılık komisyon oranları ile ilgili diğer hususlar aşağıdaki şekilde</w:t>
      </w:r>
      <w:r w:rsidR="007F735A">
        <w:rPr>
          <w:rFonts w:ascii="Times New Roman" w:hAnsi="Times New Roman" w:cs="Times New Roman"/>
          <w:sz w:val="24"/>
          <w:szCs w:val="24"/>
        </w:rPr>
        <w:t xml:space="preserve">dir. </w:t>
      </w:r>
    </w:p>
    <w:p w:rsidR="008B5C06" w:rsidRPr="00D339A5" w:rsidRDefault="00D339A5" w:rsidP="0006161B">
      <w:pPr>
        <w:pStyle w:val="ListParagraph"/>
        <w:numPr>
          <w:ilvl w:val="0"/>
          <w:numId w:val="39"/>
        </w:numPr>
        <w:ind w:left="709"/>
        <w:jc w:val="both"/>
        <w:rPr>
          <w:rFonts w:ascii="Times New Roman" w:hAnsi="Times New Roman" w:cs="Times New Roman"/>
          <w:sz w:val="24"/>
          <w:szCs w:val="24"/>
        </w:rPr>
      </w:pPr>
      <w:r w:rsidRPr="00D339A5">
        <w:rPr>
          <w:rFonts w:ascii="Times New Roman" w:hAnsi="Times New Roman" w:cs="Times New Roman"/>
          <w:sz w:val="24"/>
          <w:szCs w:val="24"/>
        </w:rPr>
        <w:t xml:space="preserve">(b) </w:t>
      </w:r>
      <w:r w:rsidR="00840EDF">
        <w:rPr>
          <w:rFonts w:ascii="Times New Roman" w:hAnsi="Times New Roman" w:cs="Times New Roman"/>
          <w:sz w:val="24"/>
          <w:szCs w:val="24"/>
        </w:rPr>
        <w:t xml:space="preserve">ve (c) </w:t>
      </w:r>
      <w:r w:rsidRPr="00D339A5">
        <w:rPr>
          <w:rFonts w:ascii="Times New Roman" w:hAnsi="Times New Roman" w:cs="Times New Roman"/>
          <w:sz w:val="24"/>
          <w:szCs w:val="24"/>
        </w:rPr>
        <w:t>ben</w:t>
      </w:r>
      <w:r w:rsidR="00B568A0">
        <w:rPr>
          <w:rFonts w:ascii="Times New Roman" w:hAnsi="Times New Roman" w:cs="Times New Roman"/>
          <w:sz w:val="24"/>
          <w:szCs w:val="24"/>
        </w:rPr>
        <w:t>tlerin</w:t>
      </w:r>
      <w:r w:rsidRPr="00D339A5">
        <w:rPr>
          <w:rFonts w:ascii="Times New Roman" w:hAnsi="Times New Roman" w:cs="Times New Roman"/>
          <w:sz w:val="24"/>
          <w:szCs w:val="24"/>
        </w:rPr>
        <w:t>de</w:t>
      </w:r>
      <w:r w:rsidR="00840EDF">
        <w:rPr>
          <w:rFonts w:ascii="Times New Roman" w:hAnsi="Times New Roman" w:cs="Times New Roman"/>
          <w:sz w:val="24"/>
          <w:szCs w:val="24"/>
        </w:rPr>
        <w:t xml:space="preserve"> belirtilen fonlar dışındaki fonların</w:t>
      </w:r>
      <w:r w:rsidR="00716975">
        <w:rPr>
          <w:rFonts w:ascii="Times New Roman" w:hAnsi="Times New Roman" w:cs="Times New Roman"/>
          <w:sz w:val="24"/>
          <w:szCs w:val="24"/>
        </w:rPr>
        <w:t xml:space="preserve"> </w:t>
      </w:r>
      <w:r w:rsidR="008B5C06" w:rsidRPr="00D339A5">
        <w:rPr>
          <w:rFonts w:ascii="Times New Roman" w:hAnsi="Times New Roman" w:cs="Times New Roman"/>
          <w:sz w:val="24"/>
          <w:szCs w:val="24"/>
        </w:rPr>
        <w:t>Platform’a üye olması</w:t>
      </w:r>
      <w:r w:rsidR="00840EDF">
        <w:rPr>
          <w:rFonts w:ascii="Times New Roman" w:hAnsi="Times New Roman" w:cs="Times New Roman"/>
          <w:sz w:val="24"/>
          <w:szCs w:val="24"/>
        </w:rPr>
        <w:t xml:space="preserve"> ve söz konusu fonların katılma payı alım satım işlemlerinin Platform üzerinde gerçekleştirilmesi</w:t>
      </w:r>
      <w:r w:rsidR="008B5C06" w:rsidRPr="00D339A5">
        <w:rPr>
          <w:rFonts w:ascii="Times New Roman" w:hAnsi="Times New Roman" w:cs="Times New Roman"/>
          <w:sz w:val="24"/>
          <w:szCs w:val="24"/>
        </w:rPr>
        <w:t xml:space="preserve"> zorunludur. Şu kadar ki; </w:t>
      </w:r>
    </w:p>
    <w:p w:rsidR="00A55046" w:rsidRPr="00290747" w:rsidRDefault="008B5C06" w:rsidP="00A55046">
      <w:pPr>
        <w:tabs>
          <w:tab w:val="left" w:pos="709"/>
        </w:tabs>
        <w:ind w:left="1560" w:hanging="284"/>
        <w:jc w:val="both"/>
        <w:rPr>
          <w:rFonts w:ascii="Times New Roman" w:hAnsi="Times New Roman" w:cs="Times New Roman"/>
          <w:sz w:val="24"/>
          <w:szCs w:val="24"/>
        </w:rPr>
      </w:pPr>
      <w:r w:rsidRPr="00290747">
        <w:rPr>
          <w:rFonts w:ascii="Times New Roman" w:hAnsi="Times New Roman" w:cs="Times New Roman"/>
          <w:sz w:val="24"/>
          <w:szCs w:val="24"/>
        </w:rPr>
        <w:t>i</w:t>
      </w:r>
      <w:r w:rsidR="00A55046">
        <w:rPr>
          <w:rFonts w:ascii="Times New Roman" w:hAnsi="Times New Roman" w:cs="Times New Roman"/>
          <w:sz w:val="24"/>
          <w:szCs w:val="24"/>
        </w:rPr>
        <w:t>.</w:t>
      </w:r>
      <w:r w:rsidRPr="00290747">
        <w:rPr>
          <w:rFonts w:ascii="Times New Roman" w:hAnsi="Times New Roman" w:cs="Times New Roman"/>
          <w:sz w:val="24"/>
          <w:szCs w:val="24"/>
        </w:rPr>
        <w:t xml:space="preserve"> Portföy yönetim şirketleri tarafından kendi müşterilerine ilişkin olarak gerçekleştirilecek ve kurucusu oldukları fonların katılma paylarının alım satımı işlemlerinin</w:t>
      </w:r>
      <w:r w:rsidR="00AF3279">
        <w:rPr>
          <w:rFonts w:ascii="Times New Roman" w:hAnsi="Times New Roman" w:cs="Times New Roman"/>
          <w:sz w:val="24"/>
          <w:szCs w:val="24"/>
        </w:rPr>
        <w:t xml:space="preserve"> P</w:t>
      </w:r>
      <w:r w:rsidR="00AF3279" w:rsidRPr="00290747">
        <w:rPr>
          <w:rFonts w:ascii="Times New Roman" w:hAnsi="Times New Roman" w:cs="Times New Roman"/>
          <w:sz w:val="24"/>
          <w:szCs w:val="24"/>
        </w:rPr>
        <w:t>latform üzerinden gerçekle</w:t>
      </w:r>
      <w:r w:rsidR="00AF3279">
        <w:rPr>
          <w:rFonts w:ascii="Times New Roman" w:hAnsi="Times New Roman" w:cs="Times New Roman"/>
          <w:sz w:val="24"/>
          <w:szCs w:val="24"/>
        </w:rPr>
        <w:t xml:space="preserve">ştirilmesi zorunlu değildir. </w:t>
      </w:r>
    </w:p>
    <w:p w:rsidR="008B5C06" w:rsidRPr="00290747" w:rsidRDefault="00A55046" w:rsidP="00A55046">
      <w:pPr>
        <w:tabs>
          <w:tab w:val="left" w:pos="709"/>
        </w:tabs>
        <w:ind w:left="1560" w:hanging="284"/>
        <w:jc w:val="both"/>
        <w:rPr>
          <w:rFonts w:ascii="Times New Roman" w:hAnsi="Times New Roman" w:cs="Times New Roman"/>
          <w:sz w:val="24"/>
          <w:szCs w:val="24"/>
        </w:rPr>
      </w:pPr>
      <w:r>
        <w:rPr>
          <w:rFonts w:ascii="Times New Roman" w:hAnsi="Times New Roman" w:cs="Times New Roman"/>
          <w:sz w:val="24"/>
          <w:szCs w:val="24"/>
        </w:rPr>
        <w:t xml:space="preserve">ii. </w:t>
      </w:r>
      <w:r w:rsidR="00AF3279" w:rsidRPr="00D05392">
        <w:rPr>
          <w:rFonts w:ascii="Times New Roman" w:eastAsia="Times New Roman" w:hAnsi="Times New Roman" w:cs="Times New Roman"/>
          <w:b/>
          <w:sz w:val="24"/>
          <w:szCs w:val="24"/>
          <w:lang w:eastAsia="tr-TR"/>
        </w:rPr>
        <w:t>(21.03.2023</w:t>
      </w:r>
      <w:r w:rsidR="00AF3279">
        <w:rPr>
          <w:rFonts w:ascii="Times New Roman" w:eastAsia="Times New Roman" w:hAnsi="Times New Roman" w:cs="Times New Roman"/>
          <w:b/>
          <w:sz w:val="24"/>
          <w:szCs w:val="24"/>
          <w:lang w:eastAsia="tr-TR"/>
        </w:rPr>
        <w:t xml:space="preserve"> tarih ve 17/366</w:t>
      </w:r>
      <w:r w:rsidR="00AF3279" w:rsidRPr="00D05392">
        <w:rPr>
          <w:rFonts w:ascii="Times New Roman" w:eastAsia="Times New Roman" w:hAnsi="Times New Roman" w:cs="Times New Roman"/>
          <w:b/>
          <w:sz w:val="24"/>
          <w:szCs w:val="24"/>
          <w:lang w:eastAsia="tr-TR"/>
        </w:rPr>
        <w:t xml:space="preserve"> sayılı Kurul Kararı ile yürürlükten kaldırılmıştır.)</w:t>
      </w:r>
    </w:p>
    <w:p w:rsidR="00935193" w:rsidRDefault="00935193" w:rsidP="007832C2">
      <w:pPr>
        <w:pStyle w:val="ListParagraph"/>
        <w:numPr>
          <w:ilvl w:val="0"/>
          <w:numId w:val="39"/>
        </w:numPr>
        <w:ind w:left="709"/>
        <w:jc w:val="both"/>
        <w:rPr>
          <w:rFonts w:ascii="Times New Roman" w:hAnsi="Times New Roman" w:cs="Times New Roman"/>
          <w:sz w:val="24"/>
          <w:szCs w:val="24"/>
        </w:rPr>
      </w:pPr>
      <w:r w:rsidRPr="00935193">
        <w:rPr>
          <w:rFonts w:ascii="Times New Roman" w:hAnsi="Times New Roman" w:cs="Times New Roman"/>
          <w:sz w:val="24"/>
          <w:szCs w:val="24"/>
        </w:rPr>
        <w:t xml:space="preserve">Özel fon, gayrimenkul yatırım fonları, girişim sermayesi yatırım fonları, garantili fon ve koruma amaçlı fonların katılma payları Platform’da işlem görmeyecektir. </w:t>
      </w:r>
    </w:p>
    <w:p w:rsidR="00B568A0" w:rsidRPr="00935193" w:rsidRDefault="00B568A0" w:rsidP="00935193">
      <w:pPr>
        <w:pStyle w:val="ListParagraph"/>
        <w:ind w:left="709"/>
        <w:jc w:val="both"/>
        <w:rPr>
          <w:rFonts w:ascii="Times New Roman" w:hAnsi="Times New Roman" w:cs="Times New Roman"/>
          <w:sz w:val="24"/>
          <w:szCs w:val="24"/>
        </w:rPr>
      </w:pPr>
    </w:p>
    <w:p w:rsidR="00935193" w:rsidRDefault="00935193" w:rsidP="007832C2">
      <w:pPr>
        <w:pStyle w:val="ListParagraph"/>
        <w:numPr>
          <w:ilvl w:val="0"/>
          <w:numId w:val="39"/>
        </w:numPr>
        <w:ind w:left="709"/>
        <w:jc w:val="both"/>
        <w:rPr>
          <w:rFonts w:ascii="Times New Roman" w:hAnsi="Times New Roman" w:cs="Times New Roman"/>
          <w:sz w:val="24"/>
          <w:szCs w:val="24"/>
        </w:rPr>
      </w:pPr>
      <w:r w:rsidRPr="00935193">
        <w:rPr>
          <w:rFonts w:ascii="Times New Roman" w:hAnsi="Times New Roman" w:cs="Times New Roman"/>
          <w:sz w:val="24"/>
          <w:szCs w:val="24"/>
        </w:rPr>
        <w:t xml:space="preserve">Para piyasası fonları, para piyasası katılım fonları, kısa vadeli tahvil ve bono fonları, kısa vadeli kira sertifikaları katılım fonları ile serbest fonların (farklı para birimleri üzerinden alınıp satılan pay grupları ayrı ayrı olmak üzere) katılma payları ise ancak kurucunun talebi olması halinde Platform kapsamına alınabilecektir. Serbest fonların katılma payları Platform kapsamında da sadece nitelikli </w:t>
      </w:r>
      <w:r>
        <w:rPr>
          <w:rFonts w:ascii="Times New Roman" w:hAnsi="Times New Roman" w:cs="Times New Roman"/>
          <w:sz w:val="24"/>
          <w:szCs w:val="24"/>
        </w:rPr>
        <w:t>yatırımcılara satılabilecektir.</w:t>
      </w:r>
    </w:p>
    <w:p w:rsidR="00840EDF" w:rsidRPr="00935193" w:rsidRDefault="00840EDF" w:rsidP="00935193">
      <w:pPr>
        <w:pStyle w:val="ListParagraph"/>
        <w:ind w:left="709"/>
        <w:jc w:val="both"/>
        <w:rPr>
          <w:rFonts w:ascii="Times New Roman" w:hAnsi="Times New Roman" w:cs="Times New Roman"/>
          <w:sz w:val="24"/>
          <w:szCs w:val="24"/>
        </w:rPr>
      </w:pPr>
    </w:p>
    <w:p w:rsidR="00FA5A7A" w:rsidRPr="00AF3279" w:rsidRDefault="00AF3279" w:rsidP="0006161B">
      <w:pPr>
        <w:pStyle w:val="ListParagraph"/>
        <w:numPr>
          <w:ilvl w:val="0"/>
          <w:numId w:val="39"/>
        </w:numPr>
        <w:ind w:left="709"/>
        <w:jc w:val="both"/>
        <w:rPr>
          <w:rFonts w:ascii="Times New Roman" w:hAnsi="Times New Roman" w:cs="Times New Roman"/>
          <w:sz w:val="24"/>
          <w:szCs w:val="24"/>
        </w:rPr>
      </w:pPr>
      <w:r>
        <w:rPr>
          <w:rFonts w:ascii="Times New Roman" w:eastAsia="Times New Roman" w:hAnsi="Times New Roman" w:cs="Times New Roman"/>
          <w:b/>
          <w:sz w:val="24"/>
          <w:szCs w:val="24"/>
          <w:lang w:eastAsia="tr-TR"/>
        </w:rPr>
        <w:t>(</w:t>
      </w:r>
      <w:r w:rsidRPr="00D05392">
        <w:rPr>
          <w:rFonts w:ascii="Times New Roman" w:eastAsia="Times New Roman" w:hAnsi="Times New Roman" w:cs="Times New Roman"/>
          <w:b/>
          <w:sz w:val="24"/>
          <w:szCs w:val="24"/>
          <w:lang w:eastAsia="tr-TR"/>
        </w:rPr>
        <w:t>21.03.2023</w:t>
      </w:r>
      <w:r>
        <w:rPr>
          <w:rFonts w:ascii="Times New Roman" w:eastAsia="Times New Roman" w:hAnsi="Times New Roman" w:cs="Times New Roman"/>
          <w:b/>
          <w:sz w:val="24"/>
          <w:szCs w:val="24"/>
          <w:lang w:eastAsia="tr-TR"/>
        </w:rPr>
        <w:t xml:space="preserve"> tarih ve 17/366</w:t>
      </w:r>
      <w:r w:rsidRPr="00D05392">
        <w:rPr>
          <w:rFonts w:ascii="Times New Roman" w:eastAsia="Times New Roman" w:hAnsi="Times New Roman" w:cs="Times New Roman"/>
          <w:b/>
          <w:sz w:val="24"/>
          <w:szCs w:val="24"/>
          <w:lang w:eastAsia="tr-TR"/>
        </w:rPr>
        <w:t xml:space="preserve"> sayılı Kurul Kararı ile yürürlükten kaldırılmıştır.)</w:t>
      </w:r>
    </w:p>
    <w:p w:rsidR="00840EDF" w:rsidRPr="003E1B19" w:rsidRDefault="00840EDF" w:rsidP="003E1B19">
      <w:pPr>
        <w:pStyle w:val="ListParagraph"/>
        <w:ind w:left="709"/>
        <w:jc w:val="both"/>
        <w:rPr>
          <w:rFonts w:ascii="Times New Roman" w:hAnsi="Times New Roman" w:cs="Times New Roman"/>
          <w:sz w:val="24"/>
          <w:szCs w:val="24"/>
        </w:rPr>
      </w:pPr>
    </w:p>
    <w:p w:rsidR="00840EDF" w:rsidRPr="003E1B19" w:rsidRDefault="00840EDF" w:rsidP="0006161B">
      <w:pPr>
        <w:pStyle w:val="ListParagraph"/>
        <w:numPr>
          <w:ilvl w:val="0"/>
          <w:numId w:val="39"/>
        </w:numPr>
        <w:ind w:left="709"/>
        <w:jc w:val="both"/>
        <w:rPr>
          <w:rFonts w:ascii="Times New Roman" w:hAnsi="Times New Roman" w:cs="Times New Roman"/>
          <w:sz w:val="24"/>
          <w:szCs w:val="24"/>
        </w:rPr>
      </w:pPr>
      <w:r>
        <w:rPr>
          <w:rFonts w:ascii="Times New Roman" w:hAnsi="Times New Roman" w:cs="Times New Roman"/>
          <w:sz w:val="24"/>
          <w:szCs w:val="24"/>
        </w:rPr>
        <w:t>Platform’da u</w:t>
      </w:r>
      <w:r w:rsidRPr="00840EDF">
        <w:rPr>
          <w:rFonts w:ascii="Times New Roman" w:hAnsi="Times New Roman" w:cs="Times New Roman"/>
          <w:sz w:val="24"/>
          <w:szCs w:val="24"/>
        </w:rPr>
        <w:t xml:space="preserve">ygulanacak </w:t>
      </w:r>
      <w:r>
        <w:rPr>
          <w:rFonts w:ascii="Times New Roman" w:hAnsi="Times New Roman" w:cs="Times New Roman"/>
          <w:sz w:val="24"/>
          <w:szCs w:val="24"/>
        </w:rPr>
        <w:t>komisyon p</w:t>
      </w:r>
      <w:r w:rsidRPr="00840EDF">
        <w:rPr>
          <w:rFonts w:ascii="Times New Roman" w:hAnsi="Times New Roman" w:cs="Times New Roman"/>
          <w:sz w:val="24"/>
          <w:szCs w:val="24"/>
        </w:rPr>
        <w:t xml:space="preserve">aylaşım </w:t>
      </w:r>
      <w:r>
        <w:rPr>
          <w:rFonts w:ascii="Times New Roman" w:hAnsi="Times New Roman" w:cs="Times New Roman"/>
          <w:sz w:val="24"/>
          <w:szCs w:val="24"/>
        </w:rPr>
        <w:t>o</w:t>
      </w:r>
      <w:r w:rsidRPr="00840EDF">
        <w:rPr>
          <w:rFonts w:ascii="Times New Roman" w:hAnsi="Times New Roman" w:cs="Times New Roman"/>
          <w:sz w:val="24"/>
          <w:szCs w:val="24"/>
        </w:rPr>
        <w:t>ranları</w:t>
      </w:r>
      <w:r w:rsidR="00716975">
        <w:rPr>
          <w:rFonts w:ascii="Times New Roman" w:hAnsi="Times New Roman" w:cs="Times New Roman"/>
          <w:sz w:val="24"/>
          <w:szCs w:val="24"/>
        </w:rPr>
        <w:t xml:space="preserve"> </w:t>
      </w:r>
      <w:r>
        <w:rPr>
          <w:rFonts w:ascii="Times New Roman" w:hAnsi="Times New Roman" w:cs="Times New Roman"/>
          <w:sz w:val="24"/>
          <w:szCs w:val="24"/>
        </w:rPr>
        <w:t>ve ilgili diğer esaslar aşağıdaki gibidir:</w:t>
      </w:r>
    </w:p>
    <w:p w:rsidR="00FA5A7A" w:rsidRPr="00840EDF" w:rsidRDefault="00FA5A7A" w:rsidP="0006161B">
      <w:pPr>
        <w:pStyle w:val="ListParagraph"/>
        <w:numPr>
          <w:ilvl w:val="0"/>
          <w:numId w:val="59"/>
        </w:numPr>
        <w:ind w:left="1560" w:hanging="142"/>
        <w:jc w:val="both"/>
        <w:rPr>
          <w:rFonts w:ascii="Times New Roman" w:hAnsi="Times New Roman" w:cs="Times New Roman"/>
          <w:sz w:val="24"/>
          <w:szCs w:val="24"/>
        </w:rPr>
      </w:pPr>
      <w:r w:rsidRPr="00840EDF">
        <w:rPr>
          <w:rFonts w:ascii="Times New Roman" w:hAnsi="Times New Roman" w:cs="Times New Roman"/>
          <w:sz w:val="24"/>
          <w:szCs w:val="24"/>
        </w:rPr>
        <w:t>K</w:t>
      </w:r>
      <w:r w:rsidR="008B5C06" w:rsidRPr="00840EDF">
        <w:rPr>
          <w:rFonts w:ascii="Times New Roman" w:hAnsi="Times New Roman" w:cs="Times New Roman"/>
          <w:sz w:val="24"/>
          <w:szCs w:val="24"/>
        </w:rPr>
        <w:t>atılma paylarının satışını gerçekleştiren dağıtım kuruluşuna (yatırım kuruluşları ve portföy yönetim şirketleri) ödenecek komisyon oranı (genel komisyon oranı) sabit olarak ilgili fonun yönetim ücretinin %35’i</w:t>
      </w:r>
      <w:r w:rsidR="00840EDF" w:rsidRPr="00840EDF">
        <w:rPr>
          <w:rFonts w:ascii="Times New Roman" w:hAnsi="Times New Roman" w:cs="Times New Roman"/>
          <w:sz w:val="24"/>
          <w:szCs w:val="24"/>
        </w:rPr>
        <w:t>dir.</w:t>
      </w:r>
    </w:p>
    <w:p w:rsidR="00840EDF" w:rsidRDefault="00FA5A7A" w:rsidP="0006161B">
      <w:pPr>
        <w:pStyle w:val="ListParagraph"/>
        <w:numPr>
          <w:ilvl w:val="0"/>
          <w:numId w:val="59"/>
        </w:numPr>
        <w:ind w:left="1560" w:hanging="142"/>
        <w:jc w:val="both"/>
        <w:rPr>
          <w:rFonts w:ascii="Times New Roman" w:hAnsi="Times New Roman" w:cs="Times New Roman"/>
          <w:sz w:val="24"/>
          <w:szCs w:val="24"/>
        </w:rPr>
      </w:pPr>
      <w:r>
        <w:rPr>
          <w:rFonts w:ascii="Times New Roman" w:hAnsi="Times New Roman" w:cs="Times New Roman"/>
          <w:sz w:val="24"/>
          <w:szCs w:val="24"/>
        </w:rPr>
        <w:t>K</w:t>
      </w:r>
      <w:r w:rsidR="008B5C06" w:rsidRPr="00290747">
        <w:rPr>
          <w:rFonts w:ascii="Times New Roman" w:hAnsi="Times New Roman" w:cs="Times New Roman"/>
          <w:sz w:val="24"/>
          <w:szCs w:val="24"/>
        </w:rPr>
        <w:t>urucular ile fon katılma paylarının satışını gerçekleştiren dağıtım kuruluşları arasında fon paylarının aktif pazarlanmasına yönelik ikili özel anlaşmalar yapılması halinde, dağıtım kuruluşuna ödenecek özel komisyon oranı ise genel komisyon oranının altında olmamak üzere ilgili fonun yönetim ücretinin azami %65’i</w:t>
      </w:r>
      <w:r w:rsidR="00840EDF">
        <w:rPr>
          <w:rFonts w:ascii="Times New Roman" w:hAnsi="Times New Roman" w:cs="Times New Roman"/>
          <w:sz w:val="24"/>
          <w:szCs w:val="24"/>
        </w:rPr>
        <w:t>dir.</w:t>
      </w:r>
    </w:p>
    <w:p w:rsidR="00817169" w:rsidRPr="00290747" w:rsidRDefault="00840EDF" w:rsidP="0006161B">
      <w:pPr>
        <w:pStyle w:val="ListParagraph"/>
        <w:numPr>
          <w:ilvl w:val="0"/>
          <w:numId w:val="59"/>
        </w:numPr>
        <w:ind w:left="1560" w:hanging="142"/>
        <w:jc w:val="both"/>
        <w:rPr>
          <w:rFonts w:ascii="Times New Roman" w:hAnsi="Times New Roman" w:cs="Times New Roman"/>
          <w:sz w:val="24"/>
          <w:szCs w:val="24"/>
        </w:rPr>
      </w:pPr>
      <w:r>
        <w:rPr>
          <w:rFonts w:ascii="Times New Roman" w:hAnsi="Times New Roman" w:cs="Times New Roman"/>
          <w:sz w:val="24"/>
          <w:szCs w:val="24"/>
        </w:rPr>
        <w:t>D</w:t>
      </w:r>
      <w:r w:rsidR="008B5C06" w:rsidRPr="00290747">
        <w:rPr>
          <w:rFonts w:ascii="Times New Roman" w:hAnsi="Times New Roman" w:cs="Times New Roman"/>
          <w:sz w:val="24"/>
          <w:szCs w:val="24"/>
        </w:rPr>
        <w:t xml:space="preserve">ağıtım kuruluşları tarafından, fon </w:t>
      </w:r>
      <w:r w:rsidR="00A72715">
        <w:rPr>
          <w:rFonts w:ascii="Times New Roman" w:hAnsi="Times New Roman" w:cs="Times New Roman"/>
          <w:sz w:val="24"/>
          <w:szCs w:val="24"/>
        </w:rPr>
        <w:t>içtüzüğü ve izahnamesinde</w:t>
      </w:r>
      <w:r w:rsidR="00716975">
        <w:rPr>
          <w:rFonts w:ascii="Times New Roman" w:hAnsi="Times New Roman" w:cs="Times New Roman"/>
          <w:sz w:val="24"/>
          <w:szCs w:val="24"/>
        </w:rPr>
        <w:t xml:space="preserve"> </w:t>
      </w:r>
      <w:r w:rsidR="008B5C06" w:rsidRPr="00290747">
        <w:rPr>
          <w:rFonts w:ascii="Times New Roman" w:hAnsi="Times New Roman" w:cs="Times New Roman"/>
          <w:sz w:val="24"/>
          <w:szCs w:val="24"/>
        </w:rPr>
        <w:t xml:space="preserve">belirtilenler haricinde, katılma payı alım satım işlemleri için yatırımcılardan komisyon, ücret gibi muhtelif adlar altında herhangi bir masraf </w:t>
      </w:r>
      <w:r>
        <w:rPr>
          <w:rFonts w:ascii="Times New Roman" w:hAnsi="Times New Roman" w:cs="Times New Roman"/>
          <w:sz w:val="24"/>
          <w:szCs w:val="24"/>
        </w:rPr>
        <w:t>alınamaz.</w:t>
      </w:r>
    </w:p>
    <w:p w:rsidR="00817169" w:rsidRPr="00962990" w:rsidRDefault="00817169" w:rsidP="00817169">
      <w:pPr>
        <w:pStyle w:val="ListParagraph"/>
        <w:ind w:left="709"/>
        <w:jc w:val="both"/>
        <w:rPr>
          <w:rFonts w:ascii="Times New Roman" w:hAnsi="Times New Roman" w:cs="Times New Roman"/>
          <w:b/>
          <w:sz w:val="24"/>
          <w:szCs w:val="24"/>
        </w:rPr>
      </w:pPr>
    </w:p>
    <w:p w:rsidR="008B5C06" w:rsidRPr="00290747" w:rsidRDefault="009B28B2" w:rsidP="0006161B">
      <w:pPr>
        <w:pStyle w:val="ListParagraph"/>
        <w:numPr>
          <w:ilvl w:val="0"/>
          <w:numId w:val="39"/>
        </w:numPr>
        <w:ind w:left="709"/>
        <w:jc w:val="both"/>
        <w:rPr>
          <w:rFonts w:ascii="Times New Roman" w:hAnsi="Times New Roman" w:cs="Times New Roman"/>
          <w:sz w:val="24"/>
          <w:szCs w:val="24"/>
        </w:rPr>
      </w:pPr>
      <w:r w:rsidRPr="009B28B2">
        <w:rPr>
          <w:rFonts w:ascii="Times New Roman" w:hAnsi="Times New Roman" w:cs="Times New Roman"/>
          <w:b/>
          <w:sz w:val="24"/>
          <w:szCs w:val="24"/>
        </w:rPr>
        <w:t>(Değişiklik: 21.03.2023 tarih ve 17/366 sayılı Kurul Kararı ile)</w:t>
      </w:r>
      <w:r w:rsidR="008B5C06" w:rsidRPr="00290747">
        <w:rPr>
          <w:rFonts w:ascii="Times New Roman" w:hAnsi="Times New Roman" w:cs="Times New Roman"/>
          <w:sz w:val="24"/>
          <w:szCs w:val="24"/>
        </w:rPr>
        <w:t>Yatırımcı emirlerinin dağıtım kuruluşlarına iletiminde yatırım kuruluşları</w:t>
      </w:r>
      <w:r w:rsidR="005B53ED">
        <w:rPr>
          <w:rFonts w:ascii="Times New Roman" w:hAnsi="Times New Roman" w:cs="Times New Roman"/>
          <w:sz w:val="24"/>
          <w:szCs w:val="24"/>
        </w:rPr>
        <w:t xml:space="preserve">nın </w:t>
      </w:r>
      <w:r w:rsidR="008B5C06" w:rsidRPr="00290747">
        <w:rPr>
          <w:rFonts w:ascii="Times New Roman" w:hAnsi="Times New Roman" w:cs="Times New Roman"/>
          <w:sz w:val="24"/>
          <w:szCs w:val="24"/>
        </w:rPr>
        <w:t>merkez ve şubeleri ile internet şubelerinin</w:t>
      </w:r>
      <w:r w:rsidR="005B53ED">
        <w:rPr>
          <w:rFonts w:ascii="Times New Roman" w:hAnsi="Times New Roman" w:cs="Times New Roman"/>
          <w:sz w:val="24"/>
          <w:szCs w:val="24"/>
        </w:rPr>
        <w:t xml:space="preserve">, portföy </w:t>
      </w:r>
      <w:r w:rsidR="005B53ED" w:rsidRPr="005B53ED">
        <w:rPr>
          <w:rFonts w:ascii="Times New Roman" w:hAnsi="Times New Roman" w:cs="Times New Roman"/>
          <w:sz w:val="24"/>
          <w:szCs w:val="24"/>
        </w:rPr>
        <w:t>yönetim şirketlerinin ise merkez ve şubelerinin</w:t>
      </w:r>
      <w:r w:rsidR="008B5C06" w:rsidRPr="00290747">
        <w:rPr>
          <w:rFonts w:ascii="Times New Roman" w:hAnsi="Times New Roman" w:cs="Times New Roman"/>
          <w:sz w:val="24"/>
          <w:szCs w:val="24"/>
        </w:rPr>
        <w:t xml:space="preserve"> kullanılması zorunlu olup, anılan kurumların ATM ve mobil </w:t>
      </w:r>
      <w:r w:rsidR="00DB7FEF">
        <w:rPr>
          <w:rFonts w:ascii="Times New Roman" w:hAnsi="Times New Roman" w:cs="Times New Roman"/>
          <w:sz w:val="24"/>
          <w:szCs w:val="24"/>
        </w:rPr>
        <w:t xml:space="preserve">uygulamaları </w:t>
      </w:r>
      <w:r w:rsidR="008B5C06" w:rsidRPr="00290747">
        <w:rPr>
          <w:rFonts w:ascii="Times New Roman" w:hAnsi="Times New Roman" w:cs="Times New Roman"/>
          <w:sz w:val="24"/>
          <w:szCs w:val="24"/>
        </w:rPr>
        <w:t xml:space="preserve">üzerinden Platform’a emir </w:t>
      </w:r>
      <w:r w:rsidR="00BB1D63">
        <w:rPr>
          <w:rFonts w:ascii="Times New Roman" w:hAnsi="Times New Roman" w:cs="Times New Roman"/>
          <w:sz w:val="24"/>
          <w:szCs w:val="24"/>
        </w:rPr>
        <w:t>i</w:t>
      </w:r>
      <w:r w:rsidR="00DB7FEF">
        <w:rPr>
          <w:rFonts w:ascii="Times New Roman" w:hAnsi="Times New Roman" w:cs="Times New Roman"/>
          <w:sz w:val="24"/>
          <w:szCs w:val="24"/>
        </w:rPr>
        <w:t>letmeleri mümkündür.</w:t>
      </w:r>
    </w:p>
    <w:p w:rsidR="00290747" w:rsidRDefault="00290747" w:rsidP="003E1B19">
      <w:pPr>
        <w:pStyle w:val="ListParagraph"/>
        <w:ind w:left="709"/>
        <w:jc w:val="both"/>
        <w:rPr>
          <w:rFonts w:ascii="Times New Roman" w:hAnsi="Times New Roman" w:cs="Times New Roman"/>
          <w:sz w:val="24"/>
          <w:szCs w:val="24"/>
        </w:rPr>
      </w:pPr>
    </w:p>
    <w:p w:rsidR="00A55046" w:rsidRDefault="008B5C06" w:rsidP="0006161B">
      <w:pPr>
        <w:pStyle w:val="ListParagraph"/>
        <w:numPr>
          <w:ilvl w:val="0"/>
          <w:numId w:val="39"/>
        </w:numPr>
        <w:tabs>
          <w:tab w:val="left" w:pos="709"/>
          <w:tab w:val="left" w:pos="993"/>
          <w:tab w:val="left" w:pos="1134"/>
        </w:tabs>
        <w:ind w:left="709"/>
        <w:jc w:val="both"/>
        <w:rPr>
          <w:rFonts w:ascii="Times New Roman" w:hAnsi="Times New Roman" w:cs="Times New Roman"/>
          <w:sz w:val="24"/>
          <w:szCs w:val="24"/>
        </w:rPr>
      </w:pPr>
      <w:r w:rsidRPr="005845F8">
        <w:rPr>
          <w:rFonts w:ascii="Times New Roman" w:hAnsi="Times New Roman" w:cs="Times New Roman"/>
          <w:sz w:val="24"/>
          <w:szCs w:val="24"/>
        </w:rPr>
        <w:t>Mevcut durumda katılma payı alım satımı yapan kuruluşlar ile fon kurucuları arasında tesis edilmiş olan ikili anlaşmaların, fon katılma payı alım satım işlemlerinin ancak Platform üzerinden ve Platform’da öngörülen şartlar çerçevesinde gerçekleştirilmesinin mümkün olabileceği hususu dikkate alınarak en geç yeni esaslar çerçevesinde Platform’da işlemlerin başlanma tarihine kadar Platform’un işlem şartlarına uygun hale getirilmesi gerek</w:t>
      </w:r>
      <w:r w:rsidR="008D087C" w:rsidRPr="005845F8">
        <w:rPr>
          <w:rFonts w:ascii="Times New Roman" w:hAnsi="Times New Roman" w:cs="Times New Roman"/>
          <w:sz w:val="24"/>
          <w:szCs w:val="24"/>
        </w:rPr>
        <w:t>i</w:t>
      </w:r>
      <w:r w:rsidRPr="005845F8">
        <w:rPr>
          <w:rFonts w:ascii="Times New Roman" w:hAnsi="Times New Roman" w:cs="Times New Roman"/>
          <w:sz w:val="24"/>
          <w:szCs w:val="24"/>
        </w:rPr>
        <w:t>r.</w:t>
      </w:r>
    </w:p>
    <w:p w:rsidR="00F45F13" w:rsidRPr="00F45F13" w:rsidRDefault="00F45F13" w:rsidP="00F45F13">
      <w:pPr>
        <w:pStyle w:val="ListParagraph"/>
        <w:rPr>
          <w:rFonts w:ascii="Times New Roman" w:hAnsi="Times New Roman" w:cs="Times New Roman"/>
          <w:sz w:val="24"/>
          <w:szCs w:val="24"/>
        </w:rPr>
      </w:pPr>
    </w:p>
    <w:p w:rsidR="00F55C39" w:rsidRDefault="00F45F13" w:rsidP="00F55C39">
      <w:pPr>
        <w:ind w:left="709" w:hanging="425"/>
        <w:jc w:val="both"/>
        <w:rPr>
          <w:rFonts w:ascii="Times New Roman" w:hAnsi="Times New Roman" w:cs="Times New Roman"/>
          <w:iCs/>
          <w:sz w:val="24"/>
          <w:szCs w:val="24"/>
        </w:rPr>
      </w:pPr>
      <w:r w:rsidRPr="00F45F13">
        <w:rPr>
          <w:rFonts w:ascii="Times New Roman" w:hAnsi="Times New Roman" w:cs="Times New Roman"/>
          <w:iCs/>
          <w:sz w:val="24"/>
          <w:szCs w:val="24"/>
        </w:rPr>
        <w:t xml:space="preserve">ğ) </w:t>
      </w:r>
      <w:r w:rsidR="00F55C39">
        <w:rPr>
          <w:rFonts w:ascii="Times New Roman" w:hAnsi="Times New Roman" w:cs="Times New Roman"/>
          <w:iCs/>
          <w:sz w:val="24"/>
          <w:szCs w:val="24"/>
        </w:rPr>
        <w:t xml:space="preserve">  </w:t>
      </w:r>
      <w:r w:rsidR="00F55C39" w:rsidRPr="00F55C39">
        <w:rPr>
          <w:rFonts w:ascii="Times New Roman" w:hAnsi="Times New Roman" w:cs="Times New Roman"/>
          <w:b/>
          <w:iCs/>
          <w:sz w:val="24"/>
          <w:szCs w:val="24"/>
        </w:rPr>
        <w:t>(Değişiklik: 13.08.2020 tarih ve 51/1014 sayılı Kurul Kararı ile)</w:t>
      </w:r>
      <w:r w:rsidR="00F55C39" w:rsidRPr="00F55C39">
        <w:rPr>
          <w:rFonts w:ascii="Times New Roman" w:hAnsi="Times New Roman" w:cs="Times New Roman"/>
          <w:iCs/>
          <w:sz w:val="24"/>
          <w:szCs w:val="24"/>
        </w:rPr>
        <w:t xml:space="preserve"> </w:t>
      </w:r>
      <w:r w:rsidRPr="00F45F13">
        <w:rPr>
          <w:rFonts w:ascii="Times New Roman" w:hAnsi="Times New Roman" w:cs="Times New Roman"/>
          <w:iCs/>
          <w:sz w:val="24"/>
          <w:szCs w:val="24"/>
        </w:rPr>
        <w:t>TEFAS’ta işlem gören serbest fonların katılma paylarının satışına ilişkin işlemlerin</w:t>
      </w:r>
      <w:r w:rsidRPr="00F45F13">
        <w:rPr>
          <w:rFonts w:ascii="Times New Roman" w:hAnsi="Times New Roman" w:cs="Times New Roman"/>
          <w:sz w:val="24"/>
          <w:szCs w:val="24"/>
        </w:rPr>
        <w:t xml:space="preserve"> </w:t>
      </w:r>
      <w:r w:rsidRPr="00F45F13">
        <w:rPr>
          <w:rFonts w:ascii="Times New Roman" w:hAnsi="Times New Roman" w:cs="Times New Roman"/>
          <w:iCs/>
          <w:sz w:val="24"/>
          <w:szCs w:val="24"/>
        </w:rPr>
        <w:t>gerçekleştirilmesinden önce işlemi yapacak dağıtım kuruluşu tarafından katılma payı alım</w:t>
      </w:r>
      <w:r w:rsidRPr="00F45F13">
        <w:rPr>
          <w:rFonts w:ascii="Times New Roman" w:hAnsi="Times New Roman" w:cs="Times New Roman"/>
          <w:sz w:val="24"/>
          <w:szCs w:val="24"/>
        </w:rPr>
        <w:t xml:space="preserve"> </w:t>
      </w:r>
      <w:r w:rsidRPr="00F45F13">
        <w:rPr>
          <w:rFonts w:ascii="Times New Roman" w:hAnsi="Times New Roman" w:cs="Times New Roman"/>
          <w:iCs/>
          <w:sz w:val="24"/>
          <w:szCs w:val="24"/>
        </w:rPr>
        <w:t>talimatı veren yatırımcının MKK nezdinde nitelikli yatırımcı olarak tanımlandığının kontrol</w:t>
      </w:r>
      <w:r w:rsidRPr="00F45F13">
        <w:rPr>
          <w:rFonts w:ascii="Times New Roman" w:hAnsi="Times New Roman" w:cs="Times New Roman"/>
          <w:sz w:val="24"/>
          <w:szCs w:val="24"/>
        </w:rPr>
        <w:t xml:space="preserve"> </w:t>
      </w:r>
      <w:r w:rsidRPr="00F45F13">
        <w:rPr>
          <w:rFonts w:ascii="Times New Roman" w:hAnsi="Times New Roman" w:cs="Times New Roman"/>
          <w:iCs/>
          <w:sz w:val="24"/>
          <w:szCs w:val="24"/>
        </w:rPr>
        <w:t>edilmesi gerekmektedir. Dağıtım kuruluşu, Fon Tebliği’nin 25. maddesinin dördüncü</w:t>
      </w:r>
      <w:r w:rsidRPr="00F45F13">
        <w:rPr>
          <w:rFonts w:ascii="Times New Roman" w:hAnsi="Times New Roman" w:cs="Times New Roman"/>
          <w:sz w:val="24"/>
          <w:szCs w:val="24"/>
        </w:rPr>
        <w:t xml:space="preserve"> </w:t>
      </w:r>
      <w:r w:rsidRPr="00F45F13">
        <w:rPr>
          <w:rFonts w:ascii="Times New Roman" w:hAnsi="Times New Roman" w:cs="Times New Roman"/>
          <w:iCs/>
          <w:sz w:val="24"/>
          <w:szCs w:val="24"/>
        </w:rPr>
        <w:t>fıkrasının birinci cümlesindeki yükümlülüğünü, yatırımcıdan katılma payı alım talimatı</w:t>
      </w:r>
      <w:r w:rsidRPr="00F45F13">
        <w:rPr>
          <w:rFonts w:ascii="Times New Roman" w:hAnsi="Times New Roman" w:cs="Times New Roman"/>
          <w:sz w:val="24"/>
          <w:szCs w:val="24"/>
        </w:rPr>
        <w:t xml:space="preserve"> </w:t>
      </w:r>
      <w:r w:rsidRPr="00F45F13">
        <w:rPr>
          <w:rFonts w:ascii="Times New Roman" w:hAnsi="Times New Roman" w:cs="Times New Roman"/>
          <w:iCs/>
          <w:sz w:val="24"/>
          <w:szCs w:val="24"/>
        </w:rPr>
        <w:t>verilen serbest fonun KAP’ta yayımlanan izahnamesi ile yatırımcı bilgi formunun okunup</w:t>
      </w:r>
      <w:r w:rsidRPr="00F45F13">
        <w:rPr>
          <w:rFonts w:ascii="Times New Roman" w:hAnsi="Times New Roman" w:cs="Times New Roman"/>
          <w:sz w:val="24"/>
          <w:szCs w:val="24"/>
        </w:rPr>
        <w:t xml:space="preserve"> </w:t>
      </w:r>
      <w:r w:rsidRPr="00F45F13">
        <w:rPr>
          <w:rFonts w:ascii="Times New Roman" w:hAnsi="Times New Roman" w:cs="Times New Roman"/>
          <w:iCs/>
          <w:sz w:val="24"/>
          <w:szCs w:val="24"/>
        </w:rPr>
        <w:t>anlaşıldığı ve fonun risklerinin algılandığına ilişkin beyanını yazılı veya elektronik ortamda</w:t>
      </w:r>
      <w:r w:rsidRPr="00F45F13">
        <w:rPr>
          <w:rFonts w:ascii="Times New Roman" w:hAnsi="Times New Roman" w:cs="Times New Roman"/>
          <w:sz w:val="24"/>
          <w:szCs w:val="24"/>
        </w:rPr>
        <w:t xml:space="preserve"> </w:t>
      </w:r>
      <w:r w:rsidRPr="00F45F13">
        <w:rPr>
          <w:rFonts w:ascii="Times New Roman" w:hAnsi="Times New Roman" w:cs="Times New Roman"/>
          <w:iCs/>
          <w:sz w:val="24"/>
          <w:szCs w:val="24"/>
        </w:rPr>
        <w:t xml:space="preserve">alarak da yerine getirebilir. </w:t>
      </w:r>
      <w:r w:rsidR="00F55C39" w:rsidRPr="00F55C39">
        <w:rPr>
          <w:rFonts w:ascii="Times New Roman" w:hAnsi="Times New Roman" w:cs="Times New Roman"/>
          <w:iCs/>
          <w:sz w:val="24"/>
          <w:szCs w:val="24"/>
        </w:rPr>
        <w:t>Bu bölümün (f) bendi hükümleri Platform’</w:t>
      </w:r>
      <w:r w:rsidR="00F55C39">
        <w:rPr>
          <w:rFonts w:ascii="Times New Roman" w:hAnsi="Times New Roman" w:cs="Times New Roman"/>
          <w:iCs/>
          <w:sz w:val="24"/>
          <w:szCs w:val="24"/>
        </w:rPr>
        <w:t xml:space="preserve">da işlem gören serbest fonların </w:t>
      </w:r>
      <w:r w:rsidR="00F55C39" w:rsidRPr="00F55C39">
        <w:rPr>
          <w:rFonts w:ascii="Times New Roman" w:hAnsi="Times New Roman" w:cs="Times New Roman"/>
          <w:iCs/>
          <w:sz w:val="24"/>
          <w:szCs w:val="24"/>
        </w:rPr>
        <w:t>Türk Lirası cinsinden alım satımı yapılan katılma payları için de geçerlidir.</w:t>
      </w:r>
    </w:p>
    <w:p w:rsidR="009D307D" w:rsidRPr="00F55C39" w:rsidRDefault="009D307D" w:rsidP="00F55C39">
      <w:pPr>
        <w:ind w:left="709" w:hanging="425"/>
        <w:jc w:val="both"/>
        <w:rPr>
          <w:rFonts w:ascii="Times New Roman" w:hAnsi="Times New Roman" w:cs="Times New Roman"/>
          <w:iCs/>
          <w:sz w:val="24"/>
          <w:szCs w:val="24"/>
        </w:rPr>
      </w:pPr>
    </w:p>
    <w:p w:rsidR="009D307D" w:rsidRPr="009D307D" w:rsidRDefault="009D307D" w:rsidP="009D307D">
      <w:pPr>
        <w:pStyle w:val="Heading2"/>
        <w:spacing w:after="240"/>
      </w:pPr>
      <w:bookmarkStart w:id="201" w:name="_Toc130312585"/>
      <w:bookmarkStart w:id="202" w:name="_Toc130312718"/>
      <w:r w:rsidRPr="009D307D">
        <w:t xml:space="preserve">6.9. </w:t>
      </w:r>
      <w:r>
        <w:t>(Ek:</w:t>
      </w:r>
      <w:r w:rsidRPr="009D307D">
        <w:t xml:space="preserve"> 23.01.2015 tarih ve 2/32 sayılı </w:t>
      </w:r>
      <w:r w:rsidR="004228BD">
        <w:t xml:space="preserve">Kurul </w:t>
      </w:r>
      <w:r w:rsidRPr="009D307D">
        <w:t>Kararı</w:t>
      </w:r>
      <w:r>
        <w:t xml:space="preserve"> ile.) </w:t>
      </w:r>
      <w:r w:rsidRPr="009D307D">
        <w:t>Katılma Paylarının Kredi Kartı ile Alımı</w:t>
      </w:r>
      <w:bookmarkEnd w:id="201"/>
      <w:bookmarkEnd w:id="202"/>
    </w:p>
    <w:p w:rsidR="009D307D" w:rsidRDefault="009D307D" w:rsidP="009D307D">
      <w:pPr>
        <w:ind w:firstLine="708"/>
        <w:jc w:val="both"/>
        <w:rPr>
          <w:rFonts w:ascii="Times New Roman" w:hAnsi="Times New Roman" w:cs="Times New Roman"/>
          <w:sz w:val="24"/>
          <w:szCs w:val="24"/>
        </w:rPr>
      </w:pPr>
      <w:r w:rsidRPr="009D307D">
        <w:rPr>
          <w:rFonts w:ascii="Times New Roman" w:hAnsi="Times New Roman" w:cs="Times New Roman"/>
          <w:sz w:val="24"/>
          <w:szCs w:val="24"/>
        </w:rPr>
        <w:t>Yatırım kuruluşlarının müşterileri kredi kartı ile yatırım fonu katılma payı alımı yapabileceklerdir.</w:t>
      </w:r>
    </w:p>
    <w:p w:rsidR="00872C27" w:rsidRDefault="00872C27" w:rsidP="009D307D">
      <w:pPr>
        <w:ind w:firstLine="708"/>
        <w:jc w:val="both"/>
        <w:rPr>
          <w:rFonts w:ascii="Times New Roman" w:hAnsi="Times New Roman" w:cs="Times New Roman"/>
          <w:sz w:val="24"/>
          <w:szCs w:val="24"/>
        </w:rPr>
      </w:pPr>
    </w:p>
    <w:p w:rsidR="00872C27" w:rsidRDefault="00872C27" w:rsidP="004E78A3">
      <w:pPr>
        <w:pStyle w:val="Heading2"/>
        <w:spacing w:after="240"/>
        <w:jc w:val="both"/>
      </w:pPr>
      <w:bookmarkStart w:id="203" w:name="_Toc130312586"/>
      <w:bookmarkStart w:id="204" w:name="_Toc130312719"/>
      <w:r w:rsidRPr="009D307D">
        <w:t>6.</w:t>
      </w:r>
      <w:r>
        <w:t>10</w:t>
      </w:r>
      <w:r w:rsidRPr="009D307D">
        <w:t xml:space="preserve">. </w:t>
      </w:r>
      <w:r>
        <w:t>(Ek:</w:t>
      </w:r>
      <w:r w:rsidRPr="009D307D">
        <w:t xml:space="preserve"> </w:t>
      </w:r>
      <w:r w:rsidR="004E78A3" w:rsidRPr="004E78A3">
        <w:t xml:space="preserve">15.09.2015 tarih ve 26/1184 sayılı </w:t>
      </w:r>
      <w:r>
        <w:t xml:space="preserve">Kurul </w:t>
      </w:r>
      <w:r w:rsidRPr="009D307D">
        <w:t>Kararı</w:t>
      </w:r>
      <w:r w:rsidR="004E78A3">
        <w:t xml:space="preserve"> ile) </w:t>
      </w:r>
      <w:r>
        <w:t>Fon Katılma Payı Alım Satımının Yabancı Para Birimi Cinsinden Gerçekleştirilmesi</w:t>
      </w:r>
      <w:bookmarkEnd w:id="203"/>
      <w:bookmarkEnd w:id="204"/>
    </w:p>
    <w:p w:rsidR="009D307D" w:rsidRDefault="00872C27" w:rsidP="009D307D">
      <w:pPr>
        <w:ind w:firstLine="708"/>
        <w:jc w:val="both"/>
        <w:rPr>
          <w:rFonts w:ascii="Times New Roman" w:hAnsi="Times New Roman" w:cs="Times New Roman"/>
          <w:sz w:val="24"/>
          <w:szCs w:val="24"/>
        </w:rPr>
      </w:pPr>
      <w:r w:rsidRPr="00872C27">
        <w:rPr>
          <w:rFonts w:ascii="Times New Roman" w:hAnsi="Times New Roman" w:cs="Times New Roman"/>
          <w:sz w:val="24"/>
          <w:szCs w:val="24"/>
        </w:rPr>
        <w:t>Fon toplam değerinin en az %80’i oranında yabancı para ve sermaye piyasası ar</w:t>
      </w:r>
      <w:r w:rsidR="00643973">
        <w:rPr>
          <w:rFonts w:ascii="Times New Roman" w:hAnsi="Times New Roman" w:cs="Times New Roman"/>
          <w:sz w:val="24"/>
          <w:szCs w:val="24"/>
        </w:rPr>
        <w:t>açlarına yatırım yapan fonlarda</w:t>
      </w:r>
      <w:r w:rsidR="00643973" w:rsidRPr="00643973">
        <w:rPr>
          <w:rFonts w:ascii="Times New Roman" w:hAnsi="Times New Roman" w:cs="Times New Roman"/>
          <w:sz w:val="24"/>
          <w:szCs w:val="24"/>
        </w:rPr>
        <w:t xml:space="preserve"> ve unvanında “(Döviz)” ibaresi yer alan fonlarda</w:t>
      </w:r>
      <w:r w:rsidRPr="00872C27">
        <w:rPr>
          <w:rFonts w:ascii="Times New Roman" w:hAnsi="Times New Roman" w:cs="Times New Roman"/>
          <w:sz w:val="24"/>
          <w:szCs w:val="24"/>
        </w:rPr>
        <w:t xml:space="preserve"> katılma payı alım satımı TL’nin yanı sıra pay grubu oluşturulmak suretiyle TCMB tarafından günlük alım satım kurları ilan edilen yabancı para birimleri üzerinden de gerçekleştirilebilir. Bu durumda, katılma payı fiyatı bağlı olduğu pay grubuna göre TL veya yabancı</w:t>
      </w:r>
      <w:r>
        <w:rPr>
          <w:rFonts w:ascii="Times New Roman" w:hAnsi="Times New Roman" w:cs="Times New Roman"/>
          <w:sz w:val="24"/>
          <w:szCs w:val="24"/>
        </w:rPr>
        <w:t xml:space="preserve"> </w:t>
      </w:r>
      <w:r w:rsidRPr="00872C27">
        <w:rPr>
          <w:rFonts w:ascii="Times New Roman" w:hAnsi="Times New Roman" w:cs="Times New Roman"/>
          <w:sz w:val="24"/>
          <w:szCs w:val="24"/>
        </w:rPr>
        <w:t>p</w:t>
      </w:r>
      <w:r w:rsidR="004E78A3">
        <w:rPr>
          <w:rFonts w:ascii="Times New Roman" w:hAnsi="Times New Roman" w:cs="Times New Roman"/>
          <w:sz w:val="24"/>
          <w:szCs w:val="24"/>
        </w:rPr>
        <w:t>ara birimi cinsinden açıklanır.</w:t>
      </w:r>
    </w:p>
    <w:p w:rsidR="00152759" w:rsidRDefault="00152759" w:rsidP="00152759">
      <w:pPr>
        <w:pStyle w:val="Heading2"/>
        <w:spacing w:after="240"/>
        <w:jc w:val="both"/>
      </w:pPr>
      <w:bookmarkStart w:id="205" w:name="_Toc130312587"/>
      <w:bookmarkStart w:id="206" w:name="_Toc130312720"/>
      <w:r w:rsidRPr="009D307D">
        <w:t>6.</w:t>
      </w:r>
      <w:r>
        <w:t>11</w:t>
      </w:r>
      <w:r w:rsidRPr="009D307D">
        <w:t xml:space="preserve">. </w:t>
      </w:r>
      <w:r>
        <w:t>(Ek:</w:t>
      </w:r>
      <w:r w:rsidRPr="009D307D">
        <w:t xml:space="preserve"> </w:t>
      </w:r>
      <w:r>
        <w:t>02</w:t>
      </w:r>
      <w:r w:rsidRPr="004E78A3">
        <w:t>.</w:t>
      </w:r>
      <w:r>
        <w:t>10</w:t>
      </w:r>
      <w:r w:rsidRPr="004E78A3">
        <w:t>.2015 tarih ve 2</w:t>
      </w:r>
      <w:r>
        <w:t>7</w:t>
      </w:r>
      <w:r w:rsidRPr="004E78A3">
        <w:t>/11</w:t>
      </w:r>
      <w:r>
        <w:t>99</w:t>
      </w:r>
      <w:r w:rsidRPr="004E78A3">
        <w:t xml:space="preserve"> sayılı </w:t>
      </w:r>
      <w:r>
        <w:t xml:space="preserve">Kurul </w:t>
      </w:r>
      <w:r w:rsidRPr="009D307D">
        <w:t>Kararı</w:t>
      </w:r>
      <w:r>
        <w:t xml:space="preserve"> ile) Para Piyasası Fonları İle Kısa Vadeli Borçlanma Araçları Fonlarının Katılma Paylarının Alım Satımına İlişkin Esaslar</w:t>
      </w:r>
      <w:bookmarkEnd w:id="205"/>
      <w:bookmarkEnd w:id="206"/>
    </w:p>
    <w:p w:rsidR="00872C27" w:rsidRDefault="00152759" w:rsidP="006806B5">
      <w:pPr>
        <w:jc w:val="both"/>
        <w:rPr>
          <w:rFonts w:ascii="Times New Roman" w:hAnsi="Times New Roman" w:cs="Times New Roman"/>
          <w:sz w:val="24"/>
          <w:szCs w:val="24"/>
        </w:rPr>
      </w:pPr>
      <w:r>
        <w:tab/>
      </w:r>
      <w:r w:rsidRPr="00152759">
        <w:rPr>
          <w:rFonts w:ascii="Times New Roman" w:hAnsi="Times New Roman" w:cs="Times New Roman"/>
          <w:sz w:val="24"/>
          <w:szCs w:val="24"/>
        </w:rPr>
        <w:t>Fon kurucusu tarafından işlem yapılmayan saatlerde fon alım-satım talimatlarının dağıtıcı kurum tarafından gerçekleştirilmesi uygulamasına ilişkin olarak, izahnamede ve katılma payı alım satımına aracılık sözleşmesinde tüm esaslarına yer verilmesi suretiyle, yatırımcının talebine bağlı olmaksızın hesaptan para çekme, ödeme yapma, para yatırma vb. nedenlerle hesabın işleme esası çerçevesinde otomatik olarak gerçekleştirilecek katılma payı alım satım işlemleri, sadece bu işlemlerle sınırlı olarak dağıtıcı kurum portföyü kullanılarak gerçekleştirilebilir</w:t>
      </w:r>
      <w:r>
        <w:rPr>
          <w:rFonts w:ascii="Times New Roman" w:hAnsi="Times New Roman" w:cs="Times New Roman"/>
          <w:sz w:val="24"/>
          <w:szCs w:val="24"/>
        </w:rPr>
        <w:t>.</w:t>
      </w:r>
    </w:p>
    <w:p w:rsidR="006806B5" w:rsidRPr="009D307D" w:rsidRDefault="006806B5" w:rsidP="006806B5">
      <w:pPr>
        <w:jc w:val="both"/>
        <w:rPr>
          <w:rFonts w:ascii="Times New Roman" w:hAnsi="Times New Roman" w:cs="Times New Roman"/>
          <w:sz w:val="24"/>
          <w:szCs w:val="24"/>
        </w:rPr>
      </w:pPr>
    </w:p>
    <w:p w:rsidR="00A55046" w:rsidRDefault="002D6087" w:rsidP="004E78A3">
      <w:pPr>
        <w:pStyle w:val="Heading1"/>
      </w:pPr>
      <w:bookmarkStart w:id="207" w:name="_Toc383963248"/>
      <w:bookmarkStart w:id="208" w:name="_Toc130312588"/>
      <w:bookmarkStart w:id="209" w:name="_Toc130312721"/>
      <w:r w:rsidRPr="00A60A07">
        <w:t xml:space="preserve">7. </w:t>
      </w:r>
      <w:r w:rsidRPr="004E78A3">
        <w:t>Risk Yönetim Sistemine İlişkin Esaslar</w:t>
      </w:r>
      <w:bookmarkEnd w:id="207"/>
      <w:bookmarkEnd w:id="208"/>
      <w:bookmarkEnd w:id="209"/>
    </w:p>
    <w:p w:rsidR="002D6087" w:rsidRPr="0076180C" w:rsidRDefault="002D6087" w:rsidP="00A55046">
      <w:pPr>
        <w:pStyle w:val="Heading2"/>
        <w:spacing w:after="240"/>
        <w:rPr>
          <w:rStyle w:val="Heading1Char"/>
          <w:b/>
          <w:szCs w:val="26"/>
        </w:rPr>
      </w:pPr>
      <w:bookmarkStart w:id="210" w:name="_Toc130312589"/>
      <w:bookmarkStart w:id="211" w:name="_Toc130312722"/>
      <w:r w:rsidRPr="0076180C">
        <w:t xml:space="preserve">7.1. </w:t>
      </w:r>
      <w:r w:rsidRPr="0076180C">
        <w:rPr>
          <w:rStyle w:val="Heading1Char"/>
          <w:b/>
          <w:szCs w:val="26"/>
        </w:rPr>
        <w:t>Genel Esaslar</w:t>
      </w:r>
      <w:bookmarkEnd w:id="210"/>
      <w:bookmarkEnd w:id="211"/>
    </w:p>
    <w:p w:rsidR="002D6087" w:rsidRDefault="002D6087" w:rsidP="002D6087">
      <w:pPr>
        <w:pStyle w:val="ListParagraph"/>
        <w:ind w:left="0" w:firstLine="709"/>
        <w:jc w:val="both"/>
        <w:rPr>
          <w:rFonts w:ascii="Times New Roman" w:hAnsi="Times New Roman" w:cs="Times New Roman"/>
          <w:sz w:val="24"/>
          <w:szCs w:val="24"/>
        </w:rPr>
      </w:pPr>
      <w:r>
        <w:rPr>
          <w:rFonts w:ascii="Times New Roman" w:hAnsi="Times New Roman" w:cs="Times New Roman"/>
          <w:sz w:val="24"/>
          <w:szCs w:val="24"/>
        </w:rPr>
        <w:t xml:space="preserve">Portföy yönetim şirketleri tarafından </w:t>
      </w:r>
      <w:r w:rsidRPr="002A0416">
        <w:rPr>
          <w:rFonts w:ascii="Times New Roman" w:hAnsi="Times New Roman" w:cs="Times New Roman"/>
          <w:sz w:val="24"/>
          <w:szCs w:val="24"/>
        </w:rPr>
        <w:t>yöneti</w:t>
      </w:r>
      <w:r>
        <w:rPr>
          <w:rFonts w:ascii="Times New Roman" w:hAnsi="Times New Roman" w:cs="Times New Roman"/>
          <w:sz w:val="24"/>
          <w:szCs w:val="24"/>
        </w:rPr>
        <w:t xml:space="preserve">len fonlara ilişkin olarak fonların </w:t>
      </w:r>
      <w:r w:rsidRPr="00F24FA3">
        <w:rPr>
          <w:rFonts w:ascii="Times New Roman" w:hAnsi="Times New Roman" w:cs="Times New Roman"/>
          <w:sz w:val="24"/>
          <w:szCs w:val="24"/>
        </w:rPr>
        <w:t>ya</w:t>
      </w:r>
      <w:r>
        <w:rPr>
          <w:rFonts w:ascii="Times New Roman" w:hAnsi="Times New Roman" w:cs="Times New Roman"/>
          <w:sz w:val="24"/>
          <w:szCs w:val="24"/>
        </w:rPr>
        <w:t xml:space="preserve">tırım stratejileri ile </w:t>
      </w:r>
      <w:r w:rsidRPr="00A34DED">
        <w:rPr>
          <w:rFonts w:ascii="Times New Roman" w:hAnsi="Times New Roman" w:cs="Times New Roman"/>
          <w:sz w:val="24"/>
          <w:szCs w:val="24"/>
        </w:rPr>
        <w:t xml:space="preserve">yatırım yapılan varlıkların yapısına ve risk düzeyine uygun </w:t>
      </w:r>
      <w:r w:rsidRPr="002A0416">
        <w:rPr>
          <w:rFonts w:ascii="Times New Roman" w:hAnsi="Times New Roman" w:cs="Times New Roman"/>
          <w:sz w:val="24"/>
          <w:szCs w:val="24"/>
        </w:rPr>
        <w:t>bir risk yönetim sistemi oluştur</w:t>
      </w:r>
      <w:r>
        <w:rPr>
          <w:rFonts w:ascii="Times New Roman" w:hAnsi="Times New Roman" w:cs="Times New Roman"/>
          <w:sz w:val="24"/>
          <w:szCs w:val="24"/>
        </w:rPr>
        <w:t>ulur. Risk yönetim sistemi,</w:t>
      </w:r>
      <w:r w:rsidR="00FA69C1">
        <w:rPr>
          <w:rFonts w:ascii="Times New Roman" w:hAnsi="Times New Roman" w:cs="Times New Roman"/>
          <w:sz w:val="24"/>
          <w:szCs w:val="24"/>
        </w:rPr>
        <w:t xml:space="preserve"> </w:t>
      </w:r>
      <w:r w:rsidRPr="00CF1DA2">
        <w:rPr>
          <w:rFonts w:ascii="Times New Roman" w:hAnsi="Times New Roman" w:cs="Times New Roman"/>
          <w:sz w:val="24"/>
          <w:szCs w:val="24"/>
        </w:rPr>
        <w:t>portföy yönetim şirketinin iç kontrol sistemi ile bütünlük arz etmelidir.</w:t>
      </w:r>
    </w:p>
    <w:p w:rsidR="002D6087" w:rsidRDefault="002D6087" w:rsidP="002D6087">
      <w:pPr>
        <w:ind w:firstLine="708"/>
        <w:jc w:val="both"/>
        <w:rPr>
          <w:rFonts w:ascii="Times New Roman" w:hAnsi="Times New Roman" w:cs="Times New Roman"/>
          <w:sz w:val="24"/>
          <w:szCs w:val="24"/>
        </w:rPr>
      </w:pPr>
      <w:r w:rsidRPr="004B5C95">
        <w:rPr>
          <w:rFonts w:ascii="Times New Roman" w:hAnsi="Times New Roman" w:cs="Times New Roman"/>
          <w:sz w:val="24"/>
          <w:szCs w:val="24"/>
        </w:rPr>
        <w:t>Risk yönetim sistemi</w:t>
      </w:r>
      <w:r w:rsidR="003E3432">
        <w:rPr>
          <w:rFonts w:ascii="Times New Roman" w:hAnsi="Times New Roman" w:cs="Times New Roman"/>
          <w:sz w:val="24"/>
          <w:szCs w:val="24"/>
        </w:rPr>
        <w:t>;</w:t>
      </w:r>
    </w:p>
    <w:p w:rsidR="002D6087" w:rsidRDefault="002D6087" w:rsidP="0006161B">
      <w:pPr>
        <w:pStyle w:val="ListParagraph"/>
        <w:numPr>
          <w:ilvl w:val="0"/>
          <w:numId w:val="70"/>
        </w:numPr>
        <w:ind w:left="1134"/>
        <w:jc w:val="both"/>
        <w:rPr>
          <w:rFonts w:ascii="Times New Roman" w:hAnsi="Times New Roman" w:cs="Times New Roman"/>
          <w:sz w:val="24"/>
          <w:szCs w:val="24"/>
        </w:rPr>
      </w:pPr>
      <w:r>
        <w:rPr>
          <w:rFonts w:ascii="Times New Roman" w:hAnsi="Times New Roman" w:cs="Times New Roman"/>
          <w:sz w:val="24"/>
          <w:szCs w:val="24"/>
        </w:rPr>
        <w:t>Y</w:t>
      </w:r>
      <w:r w:rsidRPr="00CF1DA2">
        <w:rPr>
          <w:rFonts w:ascii="Times New Roman" w:hAnsi="Times New Roman" w:cs="Times New Roman"/>
          <w:sz w:val="24"/>
          <w:szCs w:val="24"/>
        </w:rPr>
        <w:t xml:space="preserve">önetilen fonların maruz </w:t>
      </w:r>
      <w:r w:rsidRPr="005C2096">
        <w:rPr>
          <w:rFonts w:ascii="Times New Roman" w:hAnsi="Times New Roman" w:cs="Times New Roman"/>
          <w:sz w:val="24"/>
          <w:szCs w:val="24"/>
        </w:rPr>
        <w:t>kalabileceği temel risklerin tanımlanmasını</w:t>
      </w:r>
      <w:r w:rsidRPr="00CF1DA2">
        <w:rPr>
          <w:rFonts w:ascii="Times New Roman" w:hAnsi="Times New Roman" w:cs="Times New Roman"/>
          <w:sz w:val="24"/>
          <w:szCs w:val="24"/>
        </w:rPr>
        <w:t xml:space="preserve">, </w:t>
      </w:r>
    </w:p>
    <w:p w:rsidR="002D6087" w:rsidRDefault="002D6087" w:rsidP="0006161B">
      <w:pPr>
        <w:pStyle w:val="ListParagraph"/>
        <w:numPr>
          <w:ilvl w:val="0"/>
          <w:numId w:val="70"/>
        </w:numPr>
        <w:ind w:left="1134"/>
        <w:jc w:val="both"/>
        <w:rPr>
          <w:rFonts w:ascii="Times New Roman" w:hAnsi="Times New Roman" w:cs="Times New Roman"/>
          <w:sz w:val="24"/>
          <w:szCs w:val="24"/>
        </w:rPr>
      </w:pPr>
      <w:r>
        <w:rPr>
          <w:rFonts w:ascii="Times New Roman" w:hAnsi="Times New Roman" w:cs="Times New Roman"/>
          <w:sz w:val="24"/>
          <w:szCs w:val="24"/>
        </w:rPr>
        <w:t>R</w:t>
      </w:r>
      <w:r w:rsidRPr="00CF1DA2">
        <w:rPr>
          <w:rFonts w:ascii="Times New Roman" w:hAnsi="Times New Roman" w:cs="Times New Roman"/>
          <w:sz w:val="24"/>
          <w:szCs w:val="24"/>
        </w:rPr>
        <w:t>isk tanımlamalarının düzenli olarak gözden geçirilmesini ve önemli gelişmelere pa</w:t>
      </w:r>
      <w:r>
        <w:rPr>
          <w:rFonts w:ascii="Times New Roman" w:hAnsi="Times New Roman" w:cs="Times New Roman"/>
          <w:sz w:val="24"/>
          <w:szCs w:val="24"/>
        </w:rPr>
        <w:t>ralel olarak güncellenmesini,</w:t>
      </w:r>
    </w:p>
    <w:p w:rsidR="002D6087" w:rsidRDefault="002D6087" w:rsidP="0006161B">
      <w:pPr>
        <w:pStyle w:val="ListParagraph"/>
        <w:numPr>
          <w:ilvl w:val="0"/>
          <w:numId w:val="70"/>
        </w:numPr>
        <w:ind w:left="1134"/>
        <w:jc w:val="both"/>
        <w:rPr>
          <w:rFonts w:ascii="Times New Roman" w:hAnsi="Times New Roman" w:cs="Times New Roman"/>
          <w:sz w:val="24"/>
          <w:szCs w:val="24"/>
        </w:rPr>
      </w:pPr>
      <w:r>
        <w:rPr>
          <w:rFonts w:ascii="Times New Roman" w:hAnsi="Times New Roman" w:cs="Times New Roman"/>
          <w:sz w:val="24"/>
          <w:szCs w:val="24"/>
        </w:rPr>
        <w:t>M</w:t>
      </w:r>
      <w:r w:rsidRPr="00CF1DA2">
        <w:rPr>
          <w:rFonts w:ascii="Times New Roman" w:hAnsi="Times New Roman" w:cs="Times New Roman"/>
          <w:sz w:val="24"/>
          <w:szCs w:val="24"/>
        </w:rPr>
        <w:t>aruz kalınan risklerin tutarlı bir şekilde değerlendirilmesini, tespitini, ölçümünü ve kontrolünü</w:t>
      </w:r>
      <w:r w:rsidR="00361404">
        <w:rPr>
          <w:rFonts w:ascii="Times New Roman" w:hAnsi="Times New Roman" w:cs="Times New Roman"/>
          <w:sz w:val="24"/>
          <w:szCs w:val="24"/>
        </w:rPr>
        <w:t xml:space="preserve"> </w:t>
      </w:r>
      <w:r w:rsidRPr="00CF1DA2">
        <w:rPr>
          <w:rFonts w:ascii="Times New Roman" w:hAnsi="Times New Roman" w:cs="Times New Roman"/>
          <w:sz w:val="24"/>
          <w:szCs w:val="24"/>
        </w:rPr>
        <w:t>içeren bir risk ölçüm mekanizmasının oluşturulmasını</w:t>
      </w:r>
    </w:p>
    <w:p w:rsidR="002D6087" w:rsidRPr="00A55046" w:rsidRDefault="002D6087" w:rsidP="00A55046">
      <w:pPr>
        <w:ind w:left="774"/>
        <w:jc w:val="both"/>
        <w:rPr>
          <w:rFonts w:ascii="Times New Roman" w:hAnsi="Times New Roman" w:cs="Times New Roman"/>
          <w:sz w:val="24"/>
          <w:szCs w:val="24"/>
        </w:rPr>
      </w:pPr>
      <w:r w:rsidRPr="00A55046">
        <w:rPr>
          <w:rFonts w:ascii="Times New Roman" w:hAnsi="Times New Roman" w:cs="Times New Roman"/>
          <w:sz w:val="24"/>
          <w:szCs w:val="24"/>
        </w:rPr>
        <w:t xml:space="preserve">içermelidir. </w:t>
      </w:r>
    </w:p>
    <w:p w:rsidR="002D6087" w:rsidRPr="00C455F0" w:rsidRDefault="002D6087" w:rsidP="00F47904">
      <w:pPr>
        <w:pStyle w:val="Heading3"/>
      </w:pPr>
      <w:bookmarkStart w:id="212" w:name="_Toc130312590"/>
      <w:bookmarkStart w:id="213" w:name="_Toc130312723"/>
      <w:r w:rsidRPr="00C455F0">
        <w:t>7.1.1. Risk yönetim birimi</w:t>
      </w:r>
      <w:bookmarkEnd w:id="212"/>
      <w:bookmarkEnd w:id="213"/>
    </w:p>
    <w:p w:rsidR="002D6087" w:rsidRPr="004B5C95" w:rsidRDefault="002D6087" w:rsidP="00180CBC">
      <w:pPr>
        <w:spacing w:before="100" w:beforeAutospacing="1" w:after="100" w:afterAutospacing="1" w:line="240" w:lineRule="auto"/>
        <w:ind w:firstLine="708"/>
        <w:jc w:val="both"/>
        <w:rPr>
          <w:rFonts w:ascii="Times New Roman" w:hAnsi="Times New Roman" w:cs="Times New Roman"/>
          <w:sz w:val="24"/>
          <w:szCs w:val="24"/>
        </w:rPr>
      </w:pPr>
      <w:r w:rsidRPr="00C455F0">
        <w:rPr>
          <w:rFonts w:ascii="Times New Roman" w:hAnsi="Times New Roman" w:cs="Times New Roman"/>
          <w:sz w:val="24"/>
          <w:szCs w:val="24"/>
        </w:rPr>
        <w:t>Risk yönetim birimi</w:t>
      </w:r>
      <w:r w:rsidRPr="004B5C95">
        <w:rPr>
          <w:rFonts w:ascii="Times New Roman" w:hAnsi="Times New Roman" w:cs="Times New Roman"/>
          <w:sz w:val="24"/>
          <w:szCs w:val="24"/>
        </w:rPr>
        <w:t>;</w:t>
      </w:r>
    </w:p>
    <w:p w:rsidR="002D6087" w:rsidRPr="004B5C95" w:rsidRDefault="002D6087" w:rsidP="00180CBC">
      <w:pPr>
        <w:spacing w:before="100" w:beforeAutospacing="1" w:after="100" w:afterAutospacing="1" w:line="240" w:lineRule="auto"/>
        <w:ind w:firstLine="708"/>
        <w:jc w:val="both"/>
        <w:rPr>
          <w:rFonts w:ascii="Times New Roman" w:hAnsi="Times New Roman" w:cs="Times New Roman"/>
          <w:sz w:val="24"/>
          <w:szCs w:val="24"/>
        </w:rPr>
      </w:pPr>
      <w:r w:rsidRPr="004B5C95">
        <w:rPr>
          <w:rFonts w:ascii="Times New Roman" w:hAnsi="Times New Roman" w:cs="Times New Roman"/>
          <w:sz w:val="24"/>
          <w:szCs w:val="24"/>
        </w:rPr>
        <w:t xml:space="preserve">a) </w:t>
      </w:r>
      <w:r>
        <w:rPr>
          <w:rFonts w:ascii="Times New Roman" w:hAnsi="Times New Roman" w:cs="Times New Roman"/>
          <w:sz w:val="24"/>
          <w:szCs w:val="24"/>
        </w:rPr>
        <w:t>Yönetilen</w:t>
      </w:r>
      <w:r w:rsidR="00AC7EF8">
        <w:rPr>
          <w:rFonts w:ascii="Times New Roman" w:hAnsi="Times New Roman" w:cs="Times New Roman"/>
          <w:sz w:val="24"/>
          <w:szCs w:val="24"/>
        </w:rPr>
        <w:t xml:space="preserve"> </w:t>
      </w:r>
      <w:r>
        <w:rPr>
          <w:rFonts w:ascii="Times New Roman" w:hAnsi="Times New Roman" w:cs="Times New Roman"/>
          <w:sz w:val="24"/>
          <w:szCs w:val="24"/>
        </w:rPr>
        <w:t>fonların</w:t>
      </w:r>
      <w:r w:rsidRPr="004B5C95">
        <w:rPr>
          <w:rFonts w:ascii="Times New Roman" w:hAnsi="Times New Roman" w:cs="Times New Roman"/>
          <w:sz w:val="24"/>
          <w:szCs w:val="24"/>
        </w:rPr>
        <w:t xml:space="preserve"> maruz kalabileceği </w:t>
      </w:r>
      <w:r w:rsidRPr="005C2096">
        <w:rPr>
          <w:rFonts w:ascii="Times New Roman" w:hAnsi="Times New Roman" w:cs="Times New Roman"/>
          <w:sz w:val="24"/>
          <w:szCs w:val="24"/>
        </w:rPr>
        <w:t>riskleri</w:t>
      </w:r>
      <w:r w:rsidRPr="004B5C95">
        <w:rPr>
          <w:rFonts w:ascii="Times New Roman" w:hAnsi="Times New Roman" w:cs="Times New Roman"/>
          <w:sz w:val="24"/>
          <w:szCs w:val="24"/>
        </w:rPr>
        <w:t xml:space="preserve"> tespit etmekle,</w:t>
      </w:r>
    </w:p>
    <w:p w:rsidR="002D6087" w:rsidRPr="004B5C95" w:rsidRDefault="002D6087" w:rsidP="00180CBC">
      <w:pPr>
        <w:spacing w:before="100" w:beforeAutospacing="1" w:after="100" w:afterAutospacing="1" w:line="240" w:lineRule="auto"/>
        <w:ind w:firstLine="708"/>
        <w:jc w:val="both"/>
        <w:rPr>
          <w:rFonts w:ascii="Times New Roman" w:hAnsi="Times New Roman" w:cs="Times New Roman"/>
          <w:sz w:val="24"/>
          <w:szCs w:val="24"/>
        </w:rPr>
      </w:pPr>
      <w:r w:rsidRPr="004B5C95">
        <w:rPr>
          <w:rFonts w:ascii="Times New Roman" w:hAnsi="Times New Roman" w:cs="Times New Roman"/>
          <w:sz w:val="24"/>
          <w:szCs w:val="24"/>
        </w:rPr>
        <w:t>b) Risklerin ölçüm yöntemlerini ve bu kapsamda kullanılacak risk ölçüm modelini bağlı olduğu yönetici ile birlikte belirleyerek yönetim kuruluna sunmak, yönetim kurulunca onaylanan risk ölçüm modelini uygulamaya koymak, değişen faaliyet ve piyasa koşulları çerçevesinde modeli düzenli olarak gözden geçirmek ve varsa modelde gerekli görülen değişiklik taleplerini bağlı olduğu yöneticiye iletmekle,</w:t>
      </w:r>
    </w:p>
    <w:p w:rsidR="002D6087" w:rsidRPr="00980C5A" w:rsidRDefault="002D6087" w:rsidP="00180CBC">
      <w:pPr>
        <w:spacing w:before="100" w:beforeAutospacing="1" w:after="100" w:afterAutospacing="1" w:line="240" w:lineRule="auto"/>
        <w:ind w:firstLine="708"/>
        <w:jc w:val="both"/>
        <w:rPr>
          <w:rFonts w:ascii="Times New Roman" w:hAnsi="Times New Roman" w:cs="Times New Roman"/>
          <w:sz w:val="24"/>
          <w:szCs w:val="24"/>
        </w:rPr>
      </w:pPr>
      <w:r w:rsidRPr="004B5C95">
        <w:rPr>
          <w:rFonts w:ascii="Times New Roman" w:hAnsi="Times New Roman" w:cs="Times New Roman"/>
          <w:sz w:val="24"/>
          <w:szCs w:val="24"/>
        </w:rPr>
        <w:t xml:space="preserve">c) Yönetim kurulunca belirlenen risk limitlerine uyulup uyulmadığını günlük olarak izlemek ve limit aşımlarını bağlı olduğu yöneticiye aynı gün içinde raporlamak, gerekli hallerde </w:t>
      </w:r>
      <w:r w:rsidRPr="00980C5A">
        <w:rPr>
          <w:rFonts w:ascii="Times New Roman" w:hAnsi="Times New Roman" w:cs="Times New Roman"/>
          <w:sz w:val="24"/>
          <w:szCs w:val="24"/>
        </w:rPr>
        <w:t>limitlerde piyasa koşullarına uygun değişikliklerin yapılmasını istemekle,</w:t>
      </w:r>
    </w:p>
    <w:p w:rsidR="002D6087" w:rsidRPr="004B5C95" w:rsidRDefault="002D6087" w:rsidP="00180CBC">
      <w:pPr>
        <w:spacing w:before="100" w:beforeAutospacing="1" w:after="100" w:afterAutospacing="1" w:line="240" w:lineRule="auto"/>
        <w:ind w:firstLine="708"/>
        <w:jc w:val="both"/>
        <w:rPr>
          <w:rFonts w:ascii="Times New Roman" w:hAnsi="Times New Roman" w:cs="Times New Roman"/>
          <w:sz w:val="24"/>
          <w:szCs w:val="24"/>
        </w:rPr>
      </w:pPr>
      <w:r w:rsidRPr="00980C5A">
        <w:rPr>
          <w:rFonts w:ascii="Times New Roman" w:hAnsi="Times New Roman" w:cs="Times New Roman"/>
          <w:sz w:val="24"/>
          <w:szCs w:val="24"/>
        </w:rPr>
        <w:t>ç) Günlük olarak tüm işlemlerden kaynaklanan riskleri takip etmekle, söz konusu risklere, risklerin olası sonuçlarına ve alınması gereken önlemlere ilişkin günlük olarak bağlı olduğu yöneticiye; haftalık olarak da yönetim kuruluna yazılı rapor sunmakla</w:t>
      </w:r>
      <w:r w:rsidR="00356C79" w:rsidRPr="00980C5A">
        <w:rPr>
          <w:rStyle w:val="FootnoteReference"/>
          <w:rFonts w:ascii="Times New Roman" w:hAnsi="Times New Roman" w:cs="Times New Roman"/>
          <w:sz w:val="24"/>
          <w:szCs w:val="24"/>
        </w:rPr>
        <w:footnoteReference w:id="7"/>
      </w:r>
    </w:p>
    <w:p w:rsidR="002D6087" w:rsidRDefault="002D6087" w:rsidP="00180CBC">
      <w:pPr>
        <w:spacing w:before="100" w:beforeAutospacing="1" w:after="100" w:afterAutospacing="1" w:line="240" w:lineRule="auto"/>
        <w:ind w:firstLine="708"/>
        <w:jc w:val="both"/>
        <w:rPr>
          <w:rFonts w:ascii="Times New Roman" w:hAnsi="Times New Roman" w:cs="Times New Roman"/>
          <w:sz w:val="24"/>
          <w:szCs w:val="24"/>
        </w:rPr>
      </w:pPr>
      <w:r w:rsidRPr="004B5C95">
        <w:rPr>
          <w:rFonts w:ascii="Times New Roman" w:hAnsi="Times New Roman" w:cs="Times New Roman"/>
          <w:sz w:val="24"/>
          <w:szCs w:val="24"/>
        </w:rPr>
        <w:t>görevlidir.</w:t>
      </w:r>
    </w:p>
    <w:p w:rsidR="00C33217" w:rsidRDefault="00F96A62" w:rsidP="00180CBC">
      <w:pPr>
        <w:spacing w:before="100" w:beforeAutospacing="1" w:after="100" w:afterAutospacing="1"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Yukarıdaki </w:t>
      </w:r>
      <w:r w:rsidR="00B67A09">
        <w:rPr>
          <w:rFonts w:ascii="Times New Roman" w:hAnsi="Times New Roman" w:cs="Times New Roman"/>
          <w:sz w:val="24"/>
          <w:szCs w:val="24"/>
        </w:rPr>
        <w:t>(ç) bendi çerçevesinde</w:t>
      </w:r>
      <w:r w:rsidR="00F63BAE" w:rsidRPr="004B5C95">
        <w:rPr>
          <w:rFonts w:ascii="Times New Roman" w:hAnsi="Times New Roman" w:cs="Times New Roman"/>
          <w:sz w:val="24"/>
          <w:szCs w:val="24"/>
        </w:rPr>
        <w:t xml:space="preserve"> haftalık olarak yönetim kuruluna </w:t>
      </w:r>
      <w:r w:rsidR="00F63BAE">
        <w:rPr>
          <w:rFonts w:ascii="Times New Roman" w:hAnsi="Times New Roman" w:cs="Times New Roman"/>
          <w:sz w:val="24"/>
          <w:szCs w:val="24"/>
        </w:rPr>
        <w:t xml:space="preserve">sunulacak </w:t>
      </w:r>
      <w:r w:rsidR="00F63BAE" w:rsidRPr="004B5C95">
        <w:rPr>
          <w:rFonts w:ascii="Times New Roman" w:hAnsi="Times New Roman" w:cs="Times New Roman"/>
          <w:sz w:val="24"/>
          <w:szCs w:val="24"/>
        </w:rPr>
        <w:t>rapor</w:t>
      </w:r>
      <w:r w:rsidR="00F63BAE">
        <w:rPr>
          <w:rFonts w:ascii="Times New Roman" w:hAnsi="Times New Roman" w:cs="Times New Roman"/>
          <w:sz w:val="24"/>
          <w:szCs w:val="24"/>
        </w:rPr>
        <w:t>un</w:t>
      </w:r>
      <w:r w:rsidR="00107734">
        <w:rPr>
          <w:rStyle w:val="FootnoteReference"/>
          <w:rFonts w:ascii="Times New Roman" w:hAnsi="Times New Roman" w:cs="Times New Roman"/>
          <w:sz w:val="24"/>
          <w:szCs w:val="24"/>
        </w:rPr>
        <w:footnoteReference w:id="8"/>
      </w:r>
      <w:r w:rsidR="00F63BAE">
        <w:rPr>
          <w:rFonts w:ascii="Times New Roman" w:hAnsi="Times New Roman" w:cs="Times New Roman"/>
          <w:sz w:val="24"/>
          <w:szCs w:val="24"/>
        </w:rPr>
        <w:t xml:space="preserve"> Kurucu tarafından belirlenecek bir komiteye sunulması mümkün olmakla birlikte</w:t>
      </w:r>
      <w:r w:rsidR="00713D27">
        <w:rPr>
          <w:rFonts w:ascii="Times New Roman" w:hAnsi="Times New Roman" w:cs="Times New Roman"/>
          <w:sz w:val="24"/>
          <w:szCs w:val="24"/>
        </w:rPr>
        <w:t xml:space="preserve"> </w:t>
      </w:r>
      <w:r w:rsidR="00F63BAE">
        <w:rPr>
          <w:rFonts w:ascii="Times New Roman" w:hAnsi="Times New Roman" w:cs="Times New Roman"/>
          <w:sz w:val="24"/>
          <w:szCs w:val="24"/>
        </w:rPr>
        <w:t>böyle bir durumda yönetim kurulunun</w:t>
      </w:r>
      <w:r w:rsidR="00C33217" w:rsidRPr="00C33217">
        <w:rPr>
          <w:rFonts w:ascii="Times New Roman" w:hAnsi="Times New Roman" w:cs="Times New Roman"/>
          <w:sz w:val="24"/>
          <w:szCs w:val="24"/>
        </w:rPr>
        <w:t xml:space="preserve"> sorumluluğu devam eder.</w:t>
      </w:r>
    </w:p>
    <w:p w:rsidR="002D6087" w:rsidRDefault="002D6087" w:rsidP="00180CBC">
      <w:pPr>
        <w:spacing w:before="100" w:beforeAutospacing="1" w:after="100" w:afterAutospacing="1"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Risk yönetim biriminin görevlerini yerine getirebilmek için ihtiyaç duyduğu gerekli tüm bilgilere erişiminin sağlanması zorunludur. </w:t>
      </w:r>
    </w:p>
    <w:p w:rsidR="002D6087" w:rsidRDefault="002D6087" w:rsidP="00180CBC">
      <w:pPr>
        <w:spacing w:before="100" w:beforeAutospacing="1" w:after="100" w:afterAutospacing="1" w:line="240" w:lineRule="auto"/>
        <w:ind w:firstLine="708"/>
        <w:jc w:val="both"/>
        <w:rPr>
          <w:rFonts w:ascii="Times New Roman" w:hAnsi="Times New Roman" w:cs="Times New Roman"/>
          <w:sz w:val="24"/>
          <w:szCs w:val="24"/>
        </w:rPr>
      </w:pPr>
      <w:r>
        <w:rPr>
          <w:rFonts w:ascii="Times New Roman" w:hAnsi="Times New Roman" w:cs="Times New Roman"/>
          <w:sz w:val="24"/>
          <w:szCs w:val="24"/>
        </w:rPr>
        <w:t>Risk yönetim biriminin PYŞ Tebliği’nde öngörülen diğer yükümlülükleri saklıdır.</w:t>
      </w:r>
    </w:p>
    <w:p w:rsidR="002D6087" w:rsidRDefault="002D6087" w:rsidP="005845F8">
      <w:pPr>
        <w:pStyle w:val="Heading3"/>
        <w:spacing w:after="240"/>
      </w:pPr>
      <w:bookmarkStart w:id="214" w:name="_Toc130312591"/>
      <w:bookmarkStart w:id="215" w:name="_Toc130312724"/>
      <w:r w:rsidRPr="00C455F0">
        <w:t xml:space="preserve">7.1.2. Risk </w:t>
      </w:r>
      <w:r>
        <w:t>Y</w:t>
      </w:r>
      <w:r w:rsidRPr="00C455F0">
        <w:t xml:space="preserve">önetim </w:t>
      </w:r>
      <w:r>
        <w:t>P</w:t>
      </w:r>
      <w:r w:rsidRPr="00C455F0">
        <w:t>rosedürleri</w:t>
      </w:r>
      <w:bookmarkEnd w:id="214"/>
      <w:bookmarkEnd w:id="215"/>
    </w:p>
    <w:p w:rsidR="0057458C" w:rsidRDefault="008425D0" w:rsidP="00F47904">
      <w:pPr>
        <w:pStyle w:val="ListParagraph"/>
        <w:ind w:left="0" w:firstLine="708"/>
        <w:jc w:val="both"/>
        <w:rPr>
          <w:rFonts w:ascii="Times New Roman" w:hAnsi="Times New Roman" w:cs="Times New Roman"/>
          <w:sz w:val="24"/>
          <w:szCs w:val="24"/>
        </w:rPr>
      </w:pPr>
      <w:r>
        <w:rPr>
          <w:rFonts w:ascii="Times New Roman" w:hAnsi="Times New Roman" w:cs="Times New Roman"/>
          <w:sz w:val="24"/>
          <w:szCs w:val="24"/>
        </w:rPr>
        <w:t>Portföy yönetim şirketlerinin,</w:t>
      </w:r>
      <w:r w:rsidR="0057458C">
        <w:rPr>
          <w:rFonts w:ascii="Times New Roman" w:hAnsi="Times New Roman" w:cs="Times New Roman"/>
          <w:sz w:val="24"/>
          <w:szCs w:val="24"/>
        </w:rPr>
        <w:t xml:space="preserve"> yönetim</w:t>
      </w:r>
      <w:r>
        <w:rPr>
          <w:rFonts w:ascii="Times New Roman" w:hAnsi="Times New Roman" w:cs="Times New Roman"/>
          <w:sz w:val="24"/>
          <w:szCs w:val="24"/>
        </w:rPr>
        <w:t>ler</w:t>
      </w:r>
      <w:r w:rsidR="0057458C">
        <w:rPr>
          <w:rFonts w:ascii="Times New Roman" w:hAnsi="Times New Roman" w:cs="Times New Roman"/>
          <w:sz w:val="24"/>
          <w:szCs w:val="24"/>
        </w:rPr>
        <w:t>indeki</w:t>
      </w:r>
      <w:r w:rsidR="00BE24EC">
        <w:rPr>
          <w:rFonts w:ascii="Times New Roman" w:hAnsi="Times New Roman" w:cs="Times New Roman"/>
          <w:sz w:val="24"/>
          <w:szCs w:val="24"/>
        </w:rPr>
        <w:t xml:space="preserve"> </w:t>
      </w:r>
      <w:r w:rsidR="0057458C">
        <w:rPr>
          <w:rFonts w:ascii="Times New Roman" w:hAnsi="Times New Roman" w:cs="Times New Roman"/>
          <w:sz w:val="24"/>
          <w:szCs w:val="24"/>
        </w:rPr>
        <w:t xml:space="preserve">yatırım fonu </w:t>
      </w:r>
      <w:r w:rsidR="0057458C" w:rsidRPr="0057458C">
        <w:rPr>
          <w:rFonts w:ascii="Times New Roman" w:hAnsi="Times New Roman" w:cs="Times New Roman"/>
          <w:sz w:val="24"/>
          <w:szCs w:val="24"/>
        </w:rPr>
        <w:t>portföyler</w:t>
      </w:r>
      <w:r w:rsidR="0057458C">
        <w:rPr>
          <w:rFonts w:ascii="Times New Roman" w:hAnsi="Times New Roman" w:cs="Times New Roman"/>
          <w:sz w:val="24"/>
          <w:szCs w:val="24"/>
        </w:rPr>
        <w:t>i</w:t>
      </w:r>
      <w:r w:rsidR="0057458C" w:rsidRPr="0057458C">
        <w:rPr>
          <w:rFonts w:ascii="Times New Roman" w:hAnsi="Times New Roman" w:cs="Times New Roman"/>
          <w:sz w:val="24"/>
          <w:szCs w:val="24"/>
        </w:rPr>
        <w:t xml:space="preserve"> için bir risk yönetim sistemi oluşturması ve buna ilişkin </w:t>
      </w:r>
      <w:r w:rsidR="0057458C">
        <w:rPr>
          <w:rFonts w:ascii="Times New Roman" w:hAnsi="Times New Roman" w:cs="Times New Roman"/>
          <w:sz w:val="24"/>
          <w:szCs w:val="24"/>
        </w:rPr>
        <w:t xml:space="preserve">risk yönetim </w:t>
      </w:r>
      <w:r w:rsidR="0057458C" w:rsidRPr="0057458C">
        <w:rPr>
          <w:rFonts w:ascii="Times New Roman" w:hAnsi="Times New Roman" w:cs="Times New Roman"/>
          <w:sz w:val="24"/>
          <w:szCs w:val="24"/>
        </w:rPr>
        <w:t>prosedürleri</w:t>
      </w:r>
      <w:r w:rsidR="0057458C">
        <w:rPr>
          <w:rFonts w:ascii="Times New Roman" w:hAnsi="Times New Roman" w:cs="Times New Roman"/>
          <w:sz w:val="24"/>
          <w:szCs w:val="24"/>
        </w:rPr>
        <w:t>ni</w:t>
      </w:r>
      <w:r w:rsidR="0057458C" w:rsidRPr="0057458C">
        <w:rPr>
          <w:rFonts w:ascii="Times New Roman" w:hAnsi="Times New Roman" w:cs="Times New Roman"/>
          <w:sz w:val="24"/>
          <w:szCs w:val="24"/>
        </w:rPr>
        <w:t xml:space="preserve"> yazılı hale getirmesi zorunludur. Risk </w:t>
      </w:r>
      <w:r w:rsidR="0057458C" w:rsidRPr="00BE24EC">
        <w:rPr>
          <w:rFonts w:ascii="Times New Roman" w:hAnsi="Times New Roman" w:cs="Times New Roman"/>
          <w:sz w:val="24"/>
          <w:szCs w:val="24"/>
        </w:rPr>
        <w:t xml:space="preserve">yönetim sistemine ilişkin yazılı prosedürlerin kabulü ve yürürlüğe konulması için </w:t>
      </w:r>
      <w:r w:rsidR="00BE24EC" w:rsidRPr="00BE24EC">
        <w:rPr>
          <w:rFonts w:ascii="Times New Roman" w:hAnsi="Times New Roman" w:cs="Times New Roman"/>
          <w:sz w:val="24"/>
          <w:szCs w:val="24"/>
        </w:rPr>
        <w:t>K</w:t>
      </w:r>
      <w:r w:rsidR="00EF062F" w:rsidRPr="00BE24EC">
        <w:rPr>
          <w:rFonts w:ascii="Times New Roman" w:hAnsi="Times New Roman" w:cs="Times New Roman"/>
          <w:sz w:val="24"/>
          <w:szCs w:val="24"/>
        </w:rPr>
        <w:t xml:space="preserve">urucu </w:t>
      </w:r>
      <w:r w:rsidR="0057458C" w:rsidRPr="00BE24EC">
        <w:rPr>
          <w:rFonts w:ascii="Times New Roman" w:hAnsi="Times New Roman" w:cs="Times New Roman"/>
          <w:sz w:val="24"/>
          <w:szCs w:val="24"/>
        </w:rPr>
        <w:t>yönetim kurulunun kararı şarttır</w:t>
      </w:r>
      <w:r w:rsidR="004B7921">
        <w:rPr>
          <w:rStyle w:val="FootnoteReference"/>
          <w:rFonts w:ascii="Times New Roman" w:hAnsi="Times New Roman" w:cs="Times New Roman"/>
          <w:sz w:val="24"/>
          <w:szCs w:val="24"/>
        </w:rPr>
        <w:footnoteReference w:id="9"/>
      </w:r>
      <w:r w:rsidR="0057458C" w:rsidRPr="00BE24EC">
        <w:rPr>
          <w:rFonts w:ascii="Times New Roman" w:hAnsi="Times New Roman" w:cs="Times New Roman"/>
          <w:sz w:val="24"/>
          <w:szCs w:val="24"/>
        </w:rPr>
        <w:t>. Bu prosedürlerde yapılacak değişikliklerde de aynı usul ve esaslara uyulması gerekir.</w:t>
      </w:r>
    </w:p>
    <w:p w:rsidR="0057458C" w:rsidRDefault="0057458C" w:rsidP="00F47904">
      <w:pPr>
        <w:pStyle w:val="ListParagraph"/>
        <w:ind w:left="0" w:firstLine="708"/>
        <w:jc w:val="both"/>
        <w:rPr>
          <w:rFonts w:ascii="Times New Roman" w:hAnsi="Times New Roman" w:cs="Times New Roman"/>
          <w:sz w:val="24"/>
          <w:szCs w:val="24"/>
        </w:rPr>
      </w:pPr>
    </w:p>
    <w:p w:rsidR="002D6087" w:rsidRDefault="002D6087" w:rsidP="00F47904">
      <w:pPr>
        <w:pStyle w:val="ListParagraph"/>
        <w:ind w:left="0" w:firstLine="708"/>
        <w:jc w:val="both"/>
        <w:rPr>
          <w:rFonts w:ascii="Times New Roman" w:hAnsi="Times New Roman" w:cs="Times New Roman"/>
          <w:sz w:val="24"/>
          <w:szCs w:val="24"/>
        </w:rPr>
      </w:pPr>
      <w:r>
        <w:rPr>
          <w:rFonts w:ascii="Times New Roman" w:hAnsi="Times New Roman" w:cs="Times New Roman"/>
          <w:sz w:val="24"/>
          <w:szCs w:val="24"/>
        </w:rPr>
        <w:t xml:space="preserve">Risk yönetim prosedürleri, asgari olarak, yönetilen fonların risk yönetimine ilişkin olarak, PYŞ Tebliği’nin 12’nci maddesinin dördüncü fıkrasında düzenlenen görevlerin yerine getirilmesi ile risk yönetim biriminde görevli tüm personelin görev ve sorumluluklarına ilişkin esasları ve bu Rehber’in ilgili kısımlarında belirlenen hususları içerir. </w:t>
      </w:r>
    </w:p>
    <w:p w:rsidR="002D6087" w:rsidRDefault="002D6087" w:rsidP="002D6087">
      <w:pPr>
        <w:pStyle w:val="ListParagraph"/>
        <w:ind w:left="0"/>
        <w:jc w:val="both"/>
        <w:rPr>
          <w:rFonts w:ascii="Times New Roman" w:hAnsi="Times New Roman" w:cs="Times New Roman"/>
          <w:sz w:val="24"/>
          <w:szCs w:val="24"/>
        </w:rPr>
      </w:pPr>
    </w:p>
    <w:p w:rsidR="002D6087" w:rsidRDefault="002D6087" w:rsidP="00F47904">
      <w:pPr>
        <w:pStyle w:val="Heading2"/>
      </w:pPr>
      <w:bookmarkStart w:id="216" w:name="_Toc383963249"/>
      <w:bookmarkStart w:id="217" w:name="_Toc130312592"/>
      <w:bookmarkStart w:id="218" w:name="_Toc130312725"/>
      <w:r w:rsidRPr="00F47904">
        <w:t>7.2. Kaldıraç Yaratan İşlemlere İlişkin Esaslar</w:t>
      </w:r>
      <w:bookmarkEnd w:id="216"/>
      <w:bookmarkEnd w:id="217"/>
      <w:bookmarkEnd w:id="218"/>
    </w:p>
    <w:p w:rsidR="00F607D7" w:rsidRPr="00F607D7" w:rsidRDefault="00F607D7" w:rsidP="00F607D7"/>
    <w:p w:rsidR="00F47904" w:rsidRDefault="002D6087" w:rsidP="00F47904">
      <w:pPr>
        <w:pStyle w:val="Heading3"/>
      </w:pPr>
      <w:bookmarkStart w:id="219" w:name="_Toc130312593"/>
      <w:bookmarkStart w:id="220" w:name="_Toc130312726"/>
      <w:r w:rsidRPr="00C04481">
        <w:t>7.2.1.</w:t>
      </w:r>
      <w:r w:rsidR="00B63FB9">
        <w:t xml:space="preserve"> </w:t>
      </w:r>
      <w:r w:rsidR="00F47904" w:rsidRPr="00F47904">
        <w:t>Kaldıraç Yaratan İşlem</w:t>
      </w:r>
      <w:bookmarkEnd w:id="219"/>
      <w:bookmarkEnd w:id="220"/>
    </w:p>
    <w:p w:rsidR="00F47904" w:rsidRDefault="00F47904" w:rsidP="002D6087">
      <w:pPr>
        <w:shd w:val="clear" w:color="auto" w:fill="FFFFFF"/>
        <w:spacing w:after="0" w:line="255" w:lineRule="atLeast"/>
        <w:jc w:val="both"/>
        <w:rPr>
          <w:rFonts w:ascii="Times New Roman" w:hAnsi="Times New Roman" w:cs="Times New Roman"/>
          <w:sz w:val="24"/>
          <w:szCs w:val="24"/>
        </w:rPr>
      </w:pPr>
    </w:p>
    <w:p w:rsidR="002D6087" w:rsidRDefault="002D6087" w:rsidP="00F47904">
      <w:pPr>
        <w:shd w:val="clear" w:color="auto" w:fill="FFFFFF"/>
        <w:spacing w:after="0" w:line="255" w:lineRule="atLeast"/>
        <w:ind w:firstLine="708"/>
        <w:jc w:val="both"/>
        <w:rPr>
          <w:rFonts w:ascii="Times New Roman" w:eastAsia="Times New Roman" w:hAnsi="Times New Roman" w:cs="Times New Roman"/>
          <w:sz w:val="24"/>
          <w:szCs w:val="24"/>
          <w:lang w:eastAsia="tr-TR"/>
        </w:rPr>
      </w:pPr>
      <w:r>
        <w:rPr>
          <w:rFonts w:ascii="Times New Roman" w:hAnsi="Times New Roman" w:cs="Times New Roman"/>
          <w:sz w:val="24"/>
          <w:szCs w:val="24"/>
        </w:rPr>
        <w:t xml:space="preserve">Bu </w:t>
      </w:r>
      <w:r w:rsidR="0025040E">
        <w:rPr>
          <w:rFonts w:ascii="Times New Roman" w:hAnsi="Times New Roman" w:cs="Times New Roman"/>
          <w:sz w:val="24"/>
          <w:szCs w:val="24"/>
        </w:rPr>
        <w:t>R</w:t>
      </w:r>
      <w:r>
        <w:rPr>
          <w:rFonts w:ascii="Times New Roman" w:hAnsi="Times New Roman" w:cs="Times New Roman"/>
          <w:sz w:val="24"/>
          <w:szCs w:val="24"/>
        </w:rPr>
        <w:t>ehber</w:t>
      </w:r>
      <w:r w:rsidR="0025040E">
        <w:rPr>
          <w:rFonts w:ascii="Times New Roman" w:hAnsi="Times New Roman" w:cs="Times New Roman"/>
          <w:sz w:val="24"/>
          <w:szCs w:val="24"/>
        </w:rPr>
        <w:t>’</w:t>
      </w:r>
      <w:r>
        <w:rPr>
          <w:rFonts w:ascii="Times New Roman" w:hAnsi="Times New Roman" w:cs="Times New Roman"/>
          <w:sz w:val="24"/>
          <w:szCs w:val="24"/>
        </w:rPr>
        <w:t>de, “kaldıraç yaratan işlem</w:t>
      </w:r>
      <w:r>
        <w:rPr>
          <w:rFonts w:ascii="Times New Roman" w:eastAsia="Times New Roman" w:hAnsi="Times New Roman" w:cs="Times New Roman"/>
          <w:sz w:val="24"/>
          <w:szCs w:val="24"/>
          <w:lang w:eastAsia="tr-TR"/>
        </w:rPr>
        <w:t>”;</w:t>
      </w:r>
      <w:r w:rsidR="00D235E7">
        <w:rPr>
          <w:rFonts w:ascii="Times New Roman" w:eastAsia="Times New Roman" w:hAnsi="Times New Roman" w:cs="Times New Roman"/>
          <w:sz w:val="24"/>
          <w:szCs w:val="24"/>
          <w:lang w:eastAsia="tr-TR"/>
        </w:rPr>
        <w:t xml:space="preserve"> fon portföyüne</w:t>
      </w:r>
      <w:r>
        <w:rPr>
          <w:rFonts w:ascii="Times New Roman" w:eastAsia="Times New Roman" w:hAnsi="Times New Roman" w:cs="Times New Roman"/>
          <w:sz w:val="24"/>
          <w:szCs w:val="24"/>
          <w:lang w:eastAsia="tr-TR"/>
        </w:rPr>
        <w:t xml:space="preserve"> türev araç</w:t>
      </w:r>
      <w:r w:rsidR="00361404">
        <w:rPr>
          <w:rFonts w:ascii="Times New Roman" w:eastAsia="Times New Roman" w:hAnsi="Times New Roman" w:cs="Times New Roman"/>
          <w:sz w:val="24"/>
          <w:szCs w:val="24"/>
          <w:lang w:eastAsia="tr-TR"/>
        </w:rPr>
        <w:t xml:space="preserve"> </w:t>
      </w:r>
      <w:r>
        <w:rPr>
          <w:rFonts w:ascii="Times New Roman" w:hAnsi="Times New Roman" w:cs="Times New Roman"/>
          <w:sz w:val="24"/>
          <w:szCs w:val="24"/>
        </w:rPr>
        <w:t>(vadeli işlem ve opsiyon sözleşmeleri)</w:t>
      </w:r>
      <w:r w:rsidR="00D235E7">
        <w:rPr>
          <w:rFonts w:ascii="Times New Roman" w:hAnsi="Times New Roman" w:cs="Times New Roman"/>
          <w:sz w:val="24"/>
          <w:szCs w:val="24"/>
        </w:rPr>
        <w:t>,</w:t>
      </w:r>
      <w:r w:rsidR="00174D1C">
        <w:rPr>
          <w:rFonts w:ascii="Times New Roman" w:hAnsi="Times New Roman" w:cs="Times New Roman"/>
          <w:sz w:val="24"/>
          <w:szCs w:val="24"/>
        </w:rPr>
        <w:t xml:space="preserve"> saklı türev araç,</w:t>
      </w:r>
      <w:r>
        <w:rPr>
          <w:rFonts w:ascii="Times New Roman" w:hAnsi="Times New Roman" w:cs="Times New Roman"/>
          <w:sz w:val="24"/>
          <w:szCs w:val="24"/>
        </w:rPr>
        <w:t xml:space="preserve"> swap sözleşme</w:t>
      </w:r>
      <w:r w:rsidR="00D235E7">
        <w:rPr>
          <w:rFonts w:ascii="Times New Roman" w:hAnsi="Times New Roman" w:cs="Times New Roman"/>
          <w:sz w:val="24"/>
          <w:szCs w:val="24"/>
        </w:rPr>
        <w:t>s</w:t>
      </w:r>
      <w:r>
        <w:rPr>
          <w:rFonts w:ascii="Times New Roman" w:hAnsi="Times New Roman" w:cs="Times New Roman"/>
          <w:sz w:val="24"/>
          <w:szCs w:val="24"/>
        </w:rPr>
        <w:t>i, varant</w:t>
      </w:r>
      <w:r w:rsidR="00D235E7">
        <w:rPr>
          <w:rFonts w:ascii="Times New Roman" w:hAnsi="Times New Roman" w:cs="Times New Roman"/>
          <w:sz w:val="24"/>
          <w:szCs w:val="24"/>
        </w:rPr>
        <w:t>,</w:t>
      </w:r>
      <w:r w:rsidR="00AC35DA">
        <w:rPr>
          <w:rFonts w:ascii="Times New Roman" w:hAnsi="Times New Roman" w:cs="Times New Roman"/>
          <w:sz w:val="24"/>
          <w:szCs w:val="24"/>
        </w:rPr>
        <w:t xml:space="preserve"> </w:t>
      </w:r>
      <w:r>
        <w:rPr>
          <w:rFonts w:ascii="Times New Roman" w:hAnsi="Times New Roman" w:cs="Times New Roman"/>
          <w:sz w:val="24"/>
          <w:szCs w:val="24"/>
        </w:rPr>
        <w:t xml:space="preserve">sertifika </w:t>
      </w:r>
      <w:r w:rsidR="00D235E7">
        <w:rPr>
          <w:rFonts w:ascii="Times New Roman" w:hAnsi="Times New Roman" w:cs="Times New Roman"/>
          <w:sz w:val="24"/>
          <w:szCs w:val="24"/>
        </w:rPr>
        <w:t>dahil edilmesi</w:t>
      </w:r>
      <w:r w:rsidR="002946BB">
        <w:rPr>
          <w:rFonts w:ascii="Times New Roman" w:hAnsi="Times New Roman" w:cs="Times New Roman"/>
          <w:sz w:val="24"/>
          <w:szCs w:val="24"/>
        </w:rPr>
        <w:t>ni</w:t>
      </w:r>
      <w:r w:rsidR="00D235E7">
        <w:rPr>
          <w:rFonts w:ascii="Times New Roman" w:hAnsi="Times New Roman" w:cs="Times New Roman"/>
          <w:sz w:val="24"/>
          <w:szCs w:val="24"/>
        </w:rPr>
        <w:t xml:space="preserve">, </w:t>
      </w:r>
      <w:r w:rsidR="00AE49AF" w:rsidRPr="00D339A5">
        <w:rPr>
          <w:rFonts w:ascii="Times New Roman" w:hAnsi="Times New Roman" w:cs="Times New Roman"/>
          <w:sz w:val="24"/>
          <w:szCs w:val="24"/>
        </w:rPr>
        <w:t>ileri valörlü tahvil/bono</w:t>
      </w:r>
      <w:r w:rsidR="0094603F">
        <w:rPr>
          <w:rFonts w:ascii="Times New Roman" w:hAnsi="Times New Roman" w:cs="Times New Roman"/>
          <w:sz w:val="24"/>
          <w:szCs w:val="24"/>
        </w:rPr>
        <w:t xml:space="preserve"> ve altın</w:t>
      </w:r>
      <w:r w:rsidR="00AE49AF" w:rsidRPr="00D339A5">
        <w:rPr>
          <w:rFonts w:ascii="Times New Roman" w:hAnsi="Times New Roman" w:cs="Times New Roman"/>
          <w:sz w:val="24"/>
          <w:szCs w:val="24"/>
        </w:rPr>
        <w:t xml:space="preserve"> </w:t>
      </w:r>
      <w:r w:rsidR="00E61BBD">
        <w:rPr>
          <w:rFonts w:ascii="Times New Roman" w:hAnsi="Times New Roman" w:cs="Times New Roman"/>
          <w:sz w:val="24"/>
          <w:szCs w:val="24"/>
        </w:rPr>
        <w:t xml:space="preserve">alım </w:t>
      </w:r>
      <w:r w:rsidR="00A45D75" w:rsidRPr="00D339A5">
        <w:rPr>
          <w:rFonts w:ascii="Times New Roman" w:hAnsi="Times New Roman" w:cs="Times New Roman"/>
          <w:sz w:val="24"/>
          <w:szCs w:val="24"/>
        </w:rPr>
        <w:t>işlemleri</w:t>
      </w:r>
      <w:r w:rsidR="007F735A">
        <w:rPr>
          <w:rFonts w:ascii="Times New Roman" w:hAnsi="Times New Roman" w:cs="Times New Roman"/>
          <w:sz w:val="24"/>
          <w:szCs w:val="24"/>
        </w:rPr>
        <w:t>ni</w:t>
      </w:r>
      <w:r w:rsidR="00361404">
        <w:rPr>
          <w:rFonts w:ascii="Times New Roman" w:hAnsi="Times New Roman" w:cs="Times New Roman"/>
          <w:sz w:val="24"/>
          <w:szCs w:val="24"/>
        </w:rPr>
        <w:t xml:space="preserve"> </w:t>
      </w:r>
      <w:r>
        <w:rPr>
          <w:rFonts w:ascii="Times New Roman" w:eastAsia="Times New Roman" w:hAnsi="Times New Roman" w:cs="Times New Roman"/>
          <w:sz w:val="24"/>
          <w:szCs w:val="24"/>
          <w:lang w:eastAsia="tr-TR"/>
        </w:rPr>
        <w:t>ve</w:t>
      </w:r>
      <w:r w:rsidR="00361404">
        <w:rPr>
          <w:rFonts w:ascii="Times New Roman" w:eastAsia="Times New Roman" w:hAnsi="Times New Roman" w:cs="Times New Roman"/>
          <w:sz w:val="24"/>
          <w:szCs w:val="24"/>
          <w:lang w:eastAsia="tr-TR"/>
        </w:rPr>
        <w:t xml:space="preserve"> </w:t>
      </w:r>
      <w:r w:rsidR="006B3BF8">
        <w:rPr>
          <w:rFonts w:ascii="Times New Roman" w:eastAsia="Times New Roman" w:hAnsi="Times New Roman" w:cs="Times New Roman"/>
          <w:sz w:val="24"/>
          <w:szCs w:val="24"/>
          <w:lang w:eastAsia="tr-TR"/>
        </w:rPr>
        <w:t>diğer herhangi bir yöntemle</w:t>
      </w:r>
      <w:r w:rsidR="00AE49AF">
        <w:rPr>
          <w:rFonts w:ascii="Times New Roman" w:eastAsia="Times New Roman" w:hAnsi="Times New Roman" w:cs="Times New Roman"/>
          <w:sz w:val="24"/>
          <w:szCs w:val="24"/>
          <w:lang w:eastAsia="tr-TR"/>
        </w:rPr>
        <w:t xml:space="preserve"> kaldıraç</w:t>
      </w:r>
      <w:r w:rsidR="005D1963">
        <w:rPr>
          <w:rFonts w:ascii="Times New Roman" w:eastAsia="Times New Roman" w:hAnsi="Times New Roman" w:cs="Times New Roman"/>
          <w:sz w:val="24"/>
          <w:szCs w:val="24"/>
          <w:lang w:eastAsia="tr-TR"/>
        </w:rPr>
        <w:t xml:space="preserve"> yaratan </w:t>
      </w:r>
      <w:r w:rsidR="007F735A">
        <w:rPr>
          <w:rFonts w:ascii="Times New Roman" w:eastAsia="Times New Roman" w:hAnsi="Times New Roman" w:cs="Times New Roman"/>
          <w:sz w:val="24"/>
          <w:szCs w:val="24"/>
          <w:lang w:eastAsia="tr-TR"/>
        </w:rPr>
        <w:t xml:space="preserve">benzeri </w:t>
      </w:r>
      <w:r w:rsidR="005D1963">
        <w:rPr>
          <w:rFonts w:ascii="Times New Roman" w:eastAsia="Times New Roman" w:hAnsi="Times New Roman" w:cs="Times New Roman"/>
          <w:sz w:val="24"/>
          <w:szCs w:val="24"/>
          <w:lang w:eastAsia="tr-TR"/>
        </w:rPr>
        <w:t xml:space="preserve">işlemleri </w:t>
      </w:r>
      <w:r>
        <w:rPr>
          <w:rFonts w:ascii="Times New Roman" w:eastAsia="Times New Roman" w:hAnsi="Times New Roman" w:cs="Times New Roman"/>
          <w:sz w:val="24"/>
          <w:szCs w:val="24"/>
          <w:lang w:eastAsia="tr-TR"/>
        </w:rPr>
        <w:t>ifade eder.</w:t>
      </w:r>
    </w:p>
    <w:p w:rsidR="002D6087" w:rsidRDefault="002D6087" w:rsidP="002D6087">
      <w:pPr>
        <w:shd w:val="clear" w:color="auto" w:fill="FFFFFF"/>
        <w:spacing w:after="0" w:line="255" w:lineRule="atLeast"/>
        <w:jc w:val="both"/>
        <w:rPr>
          <w:rFonts w:ascii="Times New Roman" w:eastAsia="Times New Roman" w:hAnsi="Times New Roman" w:cs="Times New Roman"/>
          <w:sz w:val="24"/>
          <w:szCs w:val="24"/>
          <w:lang w:eastAsia="tr-TR"/>
        </w:rPr>
      </w:pPr>
    </w:p>
    <w:p w:rsidR="00F47904" w:rsidRDefault="002D6087" w:rsidP="00F47904">
      <w:pPr>
        <w:pStyle w:val="Heading3"/>
        <w:rPr>
          <w:rFonts w:eastAsia="Times New Roman"/>
          <w:lang w:eastAsia="tr-TR"/>
        </w:rPr>
      </w:pPr>
      <w:bookmarkStart w:id="221" w:name="_Toc130312594"/>
      <w:bookmarkStart w:id="222" w:name="_Toc130312727"/>
      <w:r>
        <w:rPr>
          <w:rFonts w:eastAsia="Times New Roman"/>
          <w:lang w:eastAsia="tr-TR"/>
        </w:rPr>
        <w:t>7.2.2</w:t>
      </w:r>
      <w:r w:rsidRPr="00C04481">
        <w:rPr>
          <w:rFonts w:eastAsia="Times New Roman"/>
          <w:lang w:eastAsia="tr-TR"/>
        </w:rPr>
        <w:t>.</w:t>
      </w:r>
      <w:r w:rsidR="00B63FB9">
        <w:rPr>
          <w:rFonts w:eastAsia="Times New Roman"/>
          <w:lang w:eastAsia="tr-TR"/>
        </w:rPr>
        <w:t xml:space="preserve"> </w:t>
      </w:r>
      <w:r w:rsidR="00F47904" w:rsidRPr="00F47904">
        <w:rPr>
          <w:rFonts w:eastAsia="Times New Roman"/>
          <w:lang w:eastAsia="tr-TR"/>
        </w:rPr>
        <w:t>Kaldıraç Yaratan İşlemlere İlişkin Genel İlkeler</w:t>
      </w:r>
      <w:bookmarkEnd w:id="221"/>
      <w:bookmarkEnd w:id="222"/>
    </w:p>
    <w:p w:rsidR="00F47904" w:rsidRDefault="00F47904" w:rsidP="002D6087">
      <w:pPr>
        <w:shd w:val="clear" w:color="auto" w:fill="FFFFFF"/>
        <w:spacing w:after="0" w:line="255" w:lineRule="atLeast"/>
        <w:jc w:val="both"/>
        <w:rPr>
          <w:rFonts w:ascii="Times New Roman" w:eastAsia="Times New Roman" w:hAnsi="Times New Roman" w:cs="Times New Roman"/>
          <w:sz w:val="24"/>
          <w:szCs w:val="24"/>
          <w:lang w:eastAsia="tr-TR"/>
        </w:rPr>
      </w:pPr>
    </w:p>
    <w:p w:rsidR="002D6087" w:rsidRDefault="002D6087" w:rsidP="00F47904">
      <w:pPr>
        <w:shd w:val="clear" w:color="auto" w:fill="FFFFFF"/>
        <w:spacing w:after="0" w:line="255" w:lineRule="atLeast"/>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Kaldıraç yaratan işlemlere iliş</w:t>
      </w:r>
      <w:r w:rsidR="006B3BF8">
        <w:rPr>
          <w:rFonts w:ascii="Times New Roman" w:eastAsia="Times New Roman" w:hAnsi="Times New Roman" w:cs="Times New Roman"/>
          <w:sz w:val="24"/>
          <w:szCs w:val="24"/>
          <w:lang w:eastAsia="tr-TR"/>
        </w:rPr>
        <w:t>ki</w:t>
      </w:r>
      <w:r>
        <w:rPr>
          <w:rFonts w:ascii="Times New Roman" w:eastAsia="Times New Roman" w:hAnsi="Times New Roman" w:cs="Times New Roman"/>
          <w:sz w:val="24"/>
          <w:szCs w:val="24"/>
          <w:lang w:eastAsia="tr-TR"/>
        </w:rPr>
        <w:t>n genel ilkeler aşağıda yer almaktadır:</w:t>
      </w:r>
    </w:p>
    <w:p w:rsidR="002D6087" w:rsidRPr="00B57EF2" w:rsidRDefault="002D6087" w:rsidP="002D6087">
      <w:pPr>
        <w:pStyle w:val="ListParagraph"/>
        <w:tabs>
          <w:tab w:val="left" w:pos="284"/>
        </w:tabs>
        <w:jc w:val="both"/>
        <w:rPr>
          <w:rFonts w:ascii="Times New Roman" w:hAnsi="Times New Roman" w:cs="Times New Roman"/>
          <w:b/>
          <w:sz w:val="24"/>
          <w:szCs w:val="24"/>
        </w:rPr>
      </w:pPr>
    </w:p>
    <w:p w:rsidR="002D6087" w:rsidRDefault="0025040E" w:rsidP="0006161B">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Bu Rehber’in </w:t>
      </w:r>
      <w:r w:rsidR="007F735A">
        <w:rPr>
          <w:rFonts w:ascii="Times New Roman" w:hAnsi="Times New Roman" w:cs="Times New Roman"/>
          <w:sz w:val="24"/>
          <w:szCs w:val="24"/>
        </w:rPr>
        <w:t>(7.2.1.)</w:t>
      </w:r>
      <w:r w:rsidR="00361404">
        <w:rPr>
          <w:rFonts w:ascii="Times New Roman" w:hAnsi="Times New Roman" w:cs="Times New Roman"/>
          <w:sz w:val="24"/>
          <w:szCs w:val="24"/>
        </w:rPr>
        <w:t xml:space="preserve"> </w:t>
      </w:r>
      <w:r>
        <w:rPr>
          <w:rFonts w:ascii="Times New Roman" w:hAnsi="Times New Roman" w:cs="Times New Roman"/>
          <w:sz w:val="24"/>
          <w:szCs w:val="24"/>
        </w:rPr>
        <w:t>nolu</w:t>
      </w:r>
      <w:r w:rsidR="007F735A">
        <w:rPr>
          <w:rFonts w:ascii="Times New Roman" w:hAnsi="Times New Roman" w:cs="Times New Roman"/>
          <w:sz w:val="24"/>
          <w:szCs w:val="24"/>
        </w:rPr>
        <w:t xml:space="preserve"> bölümünde tanımlanan “</w:t>
      </w:r>
      <w:r w:rsidR="002D6087">
        <w:rPr>
          <w:rFonts w:ascii="Times New Roman" w:hAnsi="Times New Roman" w:cs="Times New Roman"/>
          <w:sz w:val="24"/>
          <w:szCs w:val="24"/>
        </w:rPr>
        <w:t>kaldıraç yaratan işlemler</w:t>
      </w:r>
      <w:r w:rsidR="007F735A">
        <w:rPr>
          <w:rFonts w:ascii="Times New Roman" w:hAnsi="Times New Roman" w:cs="Times New Roman"/>
          <w:sz w:val="24"/>
          <w:szCs w:val="24"/>
        </w:rPr>
        <w:t>”</w:t>
      </w:r>
      <w:r w:rsidR="002D6087" w:rsidRPr="00BD2ED0">
        <w:rPr>
          <w:rFonts w:ascii="Times New Roman" w:hAnsi="Times New Roman" w:cs="Times New Roman"/>
          <w:sz w:val="24"/>
          <w:szCs w:val="24"/>
        </w:rPr>
        <w:t xml:space="preserve"> nedeniyle maruz kalınan </w:t>
      </w:r>
      <w:r w:rsidR="002D6087" w:rsidRPr="007851A5">
        <w:rPr>
          <w:rFonts w:ascii="Times New Roman" w:hAnsi="Times New Roman" w:cs="Times New Roman"/>
          <w:b/>
          <w:sz w:val="24"/>
          <w:szCs w:val="24"/>
        </w:rPr>
        <w:t>açık pozisyon tutarı</w:t>
      </w:r>
      <w:r w:rsidR="002D6087" w:rsidRPr="00BD2ED0">
        <w:rPr>
          <w:rFonts w:ascii="Times New Roman" w:hAnsi="Times New Roman" w:cs="Times New Roman"/>
          <w:sz w:val="24"/>
          <w:szCs w:val="24"/>
        </w:rPr>
        <w:t xml:space="preserve"> fon toplam değerini aşamaz. </w:t>
      </w:r>
    </w:p>
    <w:p w:rsidR="006910F3" w:rsidRDefault="006910F3" w:rsidP="006910F3">
      <w:pPr>
        <w:pStyle w:val="ListParagraph"/>
        <w:jc w:val="both"/>
        <w:rPr>
          <w:rFonts w:ascii="Times New Roman" w:hAnsi="Times New Roman" w:cs="Times New Roman"/>
          <w:sz w:val="24"/>
          <w:szCs w:val="24"/>
        </w:rPr>
      </w:pPr>
    </w:p>
    <w:p w:rsidR="006910F3" w:rsidRDefault="00B308CC" w:rsidP="0006161B">
      <w:pPr>
        <w:pStyle w:val="ListParagraph"/>
        <w:numPr>
          <w:ilvl w:val="0"/>
          <w:numId w:val="15"/>
        </w:numPr>
        <w:tabs>
          <w:tab w:val="left" w:pos="284"/>
        </w:tabs>
        <w:jc w:val="both"/>
        <w:rPr>
          <w:rFonts w:ascii="Times New Roman" w:hAnsi="Times New Roman" w:cs="Times New Roman"/>
          <w:sz w:val="24"/>
          <w:szCs w:val="24"/>
        </w:rPr>
      </w:pPr>
      <w:r w:rsidRPr="005154C8">
        <w:rPr>
          <w:rFonts w:ascii="Times New Roman" w:hAnsi="Times New Roman" w:cs="Times New Roman"/>
          <w:sz w:val="24"/>
          <w:szCs w:val="24"/>
        </w:rPr>
        <w:t xml:space="preserve">Riske Maruz Değer (RMD) </w:t>
      </w:r>
      <w:r>
        <w:rPr>
          <w:rFonts w:ascii="Times New Roman" w:hAnsi="Times New Roman" w:cs="Times New Roman"/>
          <w:sz w:val="24"/>
          <w:szCs w:val="24"/>
        </w:rPr>
        <w:t xml:space="preserve">yöntemini kullanan fonlar tarafından </w:t>
      </w:r>
      <w:r w:rsidR="00EF75CB">
        <w:rPr>
          <w:rFonts w:ascii="Times New Roman" w:hAnsi="Times New Roman" w:cs="Times New Roman"/>
          <w:sz w:val="24"/>
          <w:szCs w:val="24"/>
        </w:rPr>
        <w:t xml:space="preserve">bu </w:t>
      </w:r>
      <w:r>
        <w:rPr>
          <w:rFonts w:ascii="Times New Roman" w:hAnsi="Times New Roman" w:cs="Times New Roman"/>
          <w:sz w:val="24"/>
          <w:szCs w:val="24"/>
        </w:rPr>
        <w:t xml:space="preserve">Rehber’in </w:t>
      </w:r>
      <w:r w:rsidRPr="00B308CC">
        <w:rPr>
          <w:rFonts w:ascii="Times New Roman" w:hAnsi="Times New Roman" w:cs="Times New Roman"/>
          <w:sz w:val="24"/>
          <w:szCs w:val="24"/>
        </w:rPr>
        <w:t>(7.5.1)</w:t>
      </w:r>
      <w:r w:rsidR="00BE24EC">
        <w:rPr>
          <w:rFonts w:ascii="Times New Roman" w:hAnsi="Times New Roman" w:cs="Times New Roman"/>
          <w:sz w:val="24"/>
          <w:szCs w:val="24"/>
        </w:rPr>
        <w:t xml:space="preserve"> </w:t>
      </w:r>
      <w:r>
        <w:rPr>
          <w:rFonts w:ascii="Times New Roman" w:hAnsi="Times New Roman" w:cs="Times New Roman"/>
          <w:sz w:val="24"/>
          <w:szCs w:val="24"/>
        </w:rPr>
        <w:t>nolu bölümün</w:t>
      </w:r>
      <w:r w:rsidR="00624897">
        <w:rPr>
          <w:rFonts w:ascii="Times New Roman" w:hAnsi="Times New Roman" w:cs="Times New Roman"/>
          <w:sz w:val="24"/>
          <w:szCs w:val="24"/>
        </w:rPr>
        <w:t>ün</w:t>
      </w:r>
      <w:r>
        <w:rPr>
          <w:rFonts w:ascii="Times New Roman" w:hAnsi="Times New Roman" w:cs="Times New Roman"/>
          <w:sz w:val="24"/>
          <w:szCs w:val="24"/>
        </w:rPr>
        <w:t xml:space="preserve"> (c) bendi çerçevesinde hesaplanan</w:t>
      </w:r>
      <w:r w:rsidR="00D850BB">
        <w:rPr>
          <w:rFonts w:ascii="Times New Roman" w:hAnsi="Times New Roman" w:cs="Times New Roman"/>
          <w:sz w:val="24"/>
          <w:szCs w:val="24"/>
        </w:rPr>
        <w:t xml:space="preserve"> </w:t>
      </w:r>
      <w:r w:rsidRPr="00B12A75">
        <w:rPr>
          <w:rFonts w:ascii="Times New Roman" w:hAnsi="Times New Roman" w:cs="Times New Roman"/>
          <w:sz w:val="24"/>
          <w:szCs w:val="24"/>
        </w:rPr>
        <w:t xml:space="preserve">kaldıraca ilişkin </w:t>
      </w:r>
      <w:r w:rsidR="002946BB">
        <w:rPr>
          <w:rFonts w:ascii="Times New Roman" w:hAnsi="Times New Roman" w:cs="Times New Roman"/>
          <w:sz w:val="24"/>
          <w:szCs w:val="24"/>
        </w:rPr>
        <w:t xml:space="preserve">olarak risk yönetim prosedürlerinde </w:t>
      </w:r>
      <w:r w:rsidRPr="00B12A75">
        <w:rPr>
          <w:rFonts w:ascii="Times New Roman" w:hAnsi="Times New Roman" w:cs="Times New Roman"/>
          <w:sz w:val="24"/>
          <w:szCs w:val="24"/>
        </w:rPr>
        <w:t>bir limit</w:t>
      </w:r>
      <w:r w:rsidR="006910F3">
        <w:rPr>
          <w:rFonts w:ascii="Times New Roman" w:hAnsi="Times New Roman" w:cs="Times New Roman"/>
          <w:sz w:val="24"/>
          <w:szCs w:val="24"/>
        </w:rPr>
        <w:t xml:space="preserve"> belirlenir</w:t>
      </w:r>
      <w:r w:rsidR="00401538">
        <w:rPr>
          <w:rFonts w:ascii="Times New Roman" w:hAnsi="Times New Roman" w:cs="Times New Roman"/>
          <w:sz w:val="24"/>
          <w:szCs w:val="24"/>
        </w:rPr>
        <w:t xml:space="preserve">. </w:t>
      </w:r>
    </w:p>
    <w:p w:rsidR="00624897" w:rsidRDefault="00624897" w:rsidP="00624897">
      <w:pPr>
        <w:pStyle w:val="ListParagraph"/>
        <w:tabs>
          <w:tab w:val="left" w:pos="284"/>
        </w:tabs>
        <w:jc w:val="both"/>
        <w:rPr>
          <w:rFonts w:ascii="Times New Roman" w:hAnsi="Times New Roman" w:cs="Times New Roman"/>
          <w:sz w:val="24"/>
          <w:szCs w:val="24"/>
        </w:rPr>
      </w:pPr>
    </w:p>
    <w:p w:rsidR="002D6087" w:rsidRDefault="002D6087" w:rsidP="0006161B">
      <w:pPr>
        <w:pStyle w:val="ListParagraph"/>
        <w:numPr>
          <w:ilvl w:val="0"/>
          <w:numId w:val="15"/>
        </w:numPr>
        <w:jc w:val="both"/>
        <w:rPr>
          <w:rFonts w:ascii="Times New Roman" w:hAnsi="Times New Roman" w:cs="Times New Roman"/>
          <w:sz w:val="24"/>
          <w:szCs w:val="24"/>
        </w:rPr>
      </w:pPr>
      <w:r w:rsidRPr="00456105">
        <w:rPr>
          <w:rFonts w:ascii="Times New Roman" w:hAnsi="Times New Roman" w:cs="Times New Roman"/>
          <w:sz w:val="24"/>
          <w:szCs w:val="24"/>
        </w:rPr>
        <w:t xml:space="preserve">Fon Tebliği’nin 19’uncu maddesinin birinci fıkrası uyarınca türev araç işlemlerinin borsada gerçekleştirilmesi esastır. </w:t>
      </w:r>
      <w:r>
        <w:rPr>
          <w:rFonts w:ascii="Times New Roman" w:hAnsi="Times New Roman" w:cs="Times New Roman"/>
          <w:sz w:val="24"/>
          <w:szCs w:val="24"/>
        </w:rPr>
        <w:t xml:space="preserve">Öte yandan, </w:t>
      </w:r>
      <w:r w:rsidR="00EF75CB">
        <w:rPr>
          <w:rFonts w:ascii="Times New Roman" w:hAnsi="Times New Roman" w:cs="Times New Roman"/>
          <w:sz w:val="24"/>
          <w:szCs w:val="24"/>
        </w:rPr>
        <w:t xml:space="preserve">bu </w:t>
      </w:r>
      <w:r>
        <w:rPr>
          <w:rFonts w:ascii="Times New Roman" w:hAnsi="Times New Roman" w:cs="Times New Roman"/>
          <w:sz w:val="24"/>
          <w:szCs w:val="24"/>
        </w:rPr>
        <w:t>Rehber’in (</w:t>
      </w:r>
      <w:r w:rsidR="00C316EE">
        <w:rPr>
          <w:rFonts w:ascii="Times New Roman" w:hAnsi="Times New Roman" w:cs="Times New Roman"/>
          <w:sz w:val="24"/>
          <w:szCs w:val="24"/>
        </w:rPr>
        <w:t>4.2.7.</w:t>
      </w:r>
      <w:r>
        <w:rPr>
          <w:rFonts w:ascii="Times New Roman" w:hAnsi="Times New Roman" w:cs="Times New Roman"/>
          <w:sz w:val="24"/>
          <w:szCs w:val="24"/>
        </w:rPr>
        <w:t xml:space="preserve">) nolu bölümünde belirtilen esaslar çerçevesinde </w:t>
      </w:r>
      <w:r w:rsidRPr="00561ED0">
        <w:rPr>
          <w:rFonts w:ascii="Times New Roman" w:hAnsi="Times New Roman" w:cs="Times New Roman"/>
          <w:sz w:val="24"/>
          <w:szCs w:val="24"/>
        </w:rPr>
        <w:t>borsa dışında türev araç</w:t>
      </w:r>
      <w:r w:rsidR="00BE24EC">
        <w:rPr>
          <w:rFonts w:ascii="Times New Roman" w:hAnsi="Times New Roman" w:cs="Times New Roman"/>
          <w:sz w:val="24"/>
          <w:szCs w:val="24"/>
        </w:rPr>
        <w:t xml:space="preserve"> </w:t>
      </w:r>
      <w:r w:rsidRPr="00561ED0">
        <w:rPr>
          <w:rFonts w:ascii="Times New Roman" w:hAnsi="Times New Roman" w:cs="Times New Roman"/>
          <w:sz w:val="24"/>
          <w:szCs w:val="24"/>
        </w:rPr>
        <w:t>ve swap</w:t>
      </w:r>
      <w:r>
        <w:rPr>
          <w:rFonts w:ascii="Times New Roman" w:hAnsi="Times New Roman" w:cs="Times New Roman"/>
          <w:sz w:val="24"/>
          <w:szCs w:val="24"/>
        </w:rPr>
        <w:t xml:space="preserve"> sözleşmelerine taraf olunabilmesi mümkündür. </w:t>
      </w:r>
    </w:p>
    <w:p w:rsidR="002D6087" w:rsidRPr="00C95B0D" w:rsidRDefault="002D6087" w:rsidP="002D6087">
      <w:pPr>
        <w:pStyle w:val="ListParagraph"/>
        <w:rPr>
          <w:rFonts w:ascii="Times New Roman" w:hAnsi="Times New Roman" w:cs="Times New Roman"/>
          <w:sz w:val="24"/>
          <w:szCs w:val="24"/>
        </w:rPr>
      </w:pPr>
    </w:p>
    <w:p w:rsidR="002D6087" w:rsidRDefault="002D6087" w:rsidP="0006161B">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Fon tarafından, </w:t>
      </w:r>
      <w:r w:rsidRPr="00E4575D">
        <w:rPr>
          <w:rFonts w:ascii="Times New Roman" w:hAnsi="Times New Roman" w:cs="Times New Roman"/>
          <w:sz w:val="24"/>
          <w:szCs w:val="24"/>
        </w:rPr>
        <w:t>taraf ol</w:t>
      </w:r>
      <w:r>
        <w:rPr>
          <w:rFonts w:ascii="Times New Roman" w:hAnsi="Times New Roman" w:cs="Times New Roman"/>
          <w:sz w:val="24"/>
          <w:szCs w:val="24"/>
        </w:rPr>
        <w:t>unan</w:t>
      </w:r>
      <w:r w:rsidRPr="00E4575D">
        <w:rPr>
          <w:rFonts w:ascii="Times New Roman" w:hAnsi="Times New Roman" w:cs="Times New Roman"/>
          <w:sz w:val="24"/>
          <w:szCs w:val="24"/>
        </w:rPr>
        <w:t xml:space="preserve"> ters repo</w:t>
      </w:r>
      <w:r>
        <w:rPr>
          <w:rFonts w:ascii="Times New Roman" w:hAnsi="Times New Roman" w:cs="Times New Roman"/>
          <w:sz w:val="24"/>
          <w:szCs w:val="24"/>
        </w:rPr>
        <w:t xml:space="preserve"> sözleşmesine</w:t>
      </w:r>
      <w:r w:rsidRPr="00E4575D">
        <w:rPr>
          <w:rFonts w:ascii="Times New Roman" w:hAnsi="Times New Roman" w:cs="Times New Roman"/>
          <w:sz w:val="24"/>
          <w:szCs w:val="24"/>
        </w:rPr>
        <w:t xml:space="preserve"> konu sermaye piyasası araçlarının, fon portföyündeki sermaye piyasası araçlarının ödünç verilmesi kapsamında teminat olarak alınan varlıkların ve repo işlemi çerçevesinde fon portföyüne dahil edilen nakdin ilave kaldıraç yaratmak üzere yeniden yatırıma yönlendirilmesi</w:t>
      </w:r>
      <w:r>
        <w:rPr>
          <w:rFonts w:ascii="Times New Roman" w:hAnsi="Times New Roman" w:cs="Times New Roman"/>
          <w:sz w:val="24"/>
          <w:szCs w:val="24"/>
        </w:rPr>
        <w:t xml:space="preserve"> mümkün değildir.</w:t>
      </w:r>
    </w:p>
    <w:p w:rsidR="002D6087" w:rsidRDefault="002D6087" w:rsidP="002D6087">
      <w:pPr>
        <w:pStyle w:val="ListParagraph"/>
        <w:jc w:val="both"/>
        <w:rPr>
          <w:rFonts w:ascii="Times New Roman" w:hAnsi="Times New Roman" w:cs="Times New Roman"/>
          <w:sz w:val="24"/>
          <w:szCs w:val="24"/>
        </w:rPr>
      </w:pPr>
    </w:p>
    <w:p w:rsidR="002D6087" w:rsidRPr="002124B4" w:rsidRDefault="002D6087" w:rsidP="0006161B">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Fon tarafından, h</w:t>
      </w:r>
      <w:r w:rsidRPr="002124B4">
        <w:rPr>
          <w:rFonts w:ascii="Times New Roman" w:hAnsi="Times New Roman" w:cs="Times New Roman"/>
          <w:sz w:val="24"/>
          <w:szCs w:val="24"/>
        </w:rPr>
        <w:t xml:space="preserve">erhangi bir şekilde açığa satış sonucunu doğuracak bir ileri valörlü </w:t>
      </w:r>
      <w:r w:rsidR="0094603F">
        <w:rPr>
          <w:rFonts w:ascii="Times New Roman" w:hAnsi="Times New Roman" w:cs="Times New Roman"/>
          <w:sz w:val="24"/>
          <w:szCs w:val="24"/>
        </w:rPr>
        <w:t xml:space="preserve">tahvil/bono ve ileri valörlü altın </w:t>
      </w:r>
      <w:r w:rsidRPr="002124B4">
        <w:rPr>
          <w:rFonts w:ascii="Times New Roman" w:hAnsi="Times New Roman" w:cs="Times New Roman"/>
          <w:sz w:val="24"/>
          <w:szCs w:val="24"/>
        </w:rPr>
        <w:t>işlem</w:t>
      </w:r>
      <w:r w:rsidR="0014480B">
        <w:rPr>
          <w:rFonts w:ascii="Times New Roman" w:hAnsi="Times New Roman" w:cs="Times New Roman"/>
          <w:sz w:val="24"/>
          <w:szCs w:val="24"/>
        </w:rPr>
        <w:t>i</w:t>
      </w:r>
      <w:r w:rsidR="002929F2">
        <w:rPr>
          <w:rFonts w:ascii="Times New Roman" w:hAnsi="Times New Roman" w:cs="Times New Roman"/>
          <w:sz w:val="24"/>
          <w:szCs w:val="24"/>
        </w:rPr>
        <w:t xml:space="preserve"> </w:t>
      </w:r>
      <w:r>
        <w:rPr>
          <w:rFonts w:ascii="Times New Roman" w:hAnsi="Times New Roman" w:cs="Times New Roman"/>
          <w:sz w:val="24"/>
          <w:szCs w:val="24"/>
        </w:rPr>
        <w:t>yapılamaz.</w:t>
      </w:r>
      <w:r w:rsidR="002929F2">
        <w:rPr>
          <w:rFonts w:ascii="Times New Roman" w:hAnsi="Times New Roman" w:cs="Times New Roman"/>
          <w:sz w:val="24"/>
          <w:szCs w:val="24"/>
        </w:rPr>
        <w:t xml:space="preserve"> </w:t>
      </w:r>
      <w:r w:rsidRPr="002124B4">
        <w:rPr>
          <w:rFonts w:ascii="Times New Roman" w:hAnsi="Times New Roman" w:cs="Times New Roman"/>
          <w:sz w:val="24"/>
          <w:szCs w:val="24"/>
        </w:rPr>
        <w:t>Bir iş</w:t>
      </w:r>
      <w:r w:rsidR="002929F2">
        <w:rPr>
          <w:rFonts w:ascii="Times New Roman" w:hAnsi="Times New Roman" w:cs="Times New Roman"/>
          <w:sz w:val="24"/>
          <w:szCs w:val="24"/>
        </w:rPr>
        <w:t xml:space="preserve"> </w:t>
      </w:r>
      <w:r w:rsidRPr="002124B4">
        <w:rPr>
          <w:rFonts w:ascii="Times New Roman" w:hAnsi="Times New Roman" w:cs="Times New Roman"/>
          <w:sz w:val="24"/>
          <w:szCs w:val="24"/>
        </w:rPr>
        <w:t>günü valörlü işlemler açık pozisyon hesabında dikkate alınmaz</w:t>
      </w:r>
      <w:r w:rsidRPr="00BC40E1">
        <w:rPr>
          <w:rFonts w:ascii="Times New Roman" w:hAnsi="Times New Roman" w:cs="Times New Roman"/>
          <w:sz w:val="24"/>
          <w:szCs w:val="24"/>
        </w:rPr>
        <w:t>.</w:t>
      </w:r>
    </w:p>
    <w:p w:rsidR="002D6087" w:rsidRDefault="002D6087" w:rsidP="002D6087">
      <w:pPr>
        <w:pStyle w:val="ListParagraph"/>
        <w:jc w:val="both"/>
        <w:rPr>
          <w:rFonts w:ascii="Times New Roman" w:hAnsi="Times New Roman" w:cs="Times New Roman"/>
          <w:sz w:val="24"/>
          <w:szCs w:val="24"/>
        </w:rPr>
      </w:pPr>
    </w:p>
    <w:p w:rsidR="002D6087" w:rsidRPr="00786E7A" w:rsidRDefault="002D6087" w:rsidP="0006161B">
      <w:pPr>
        <w:pStyle w:val="ListParagraph"/>
        <w:numPr>
          <w:ilvl w:val="0"/>
          <w:numId w:val="15"/>
        </w:numPr>
        <w:jc w:val="both"/>
        <w:rPr>
          <w:rFonts w:ascii="Times New Roman" w:hAnsi="Times New Roman" w:cs="Times New Roman"/>
          <w:sz w:val="24"/>
          <w:szCs w:val="24"/>
        </w:rPr>
      </w:pPr>
      <w:r w:rsidRPr="00786E7A">
        <w:rPr>
          <w:rFonts w:ascii="Times New Roman" w:hAnsi="Times New Roman" w:cs="Times New Roman"/>
          <w:sz w:val="24"/>
          <w:szCs w:val="24"/>
        </w:rPr>
        <w:t xml:space="preserve">Fon, </w:t>
      </w:r>
      <w:r w:rsidR="009C7409" w:rsidRPr="00786E7A">
        <w:rPr>
          <w:rFonts w:ascii="Times New Roman" w:hAnsi="Times New Roman" w:cs="Times New Roman"/>
          <w:sz w:val="24"/>
          <w:szCs w:val="24"/>
        </w:rPr>
        <w:t>sözleşmelerden</w:t>
      </w:r>
      <w:r w:rsidRPr="00786E7A">
        <w:rPr>
          <w:rFonts w:ascii="Times New Roman" w:hAnsi="Times New Roman" w:cs="Times New Roman"/>
          <w:sz w:val="24"/>
          <w:szCs w:val="24"/>
        </w:rPr>
        <w:t xml:space="preserve"> kaynaklanan ödeme ve teslim yükümlülüklerini yerine getirebilecek durumda olmalıdır. Bu husus</w:t>
      </w:r>
      <w:r w:rsidR="00786E7A">
        <w:rPr>
          <w:rFonts w:ascii="Times New Roman" w:hAnsi="Times New Roman" w:cs="Times New Roman"/>
          <w:sz w:val="24"/>
          <w:szCs w:val="24"/>
        </w:rPr>
        <w:t xml:space="preserve">un takibine </w:t>
      </w:r>
      <w:r w:rsidRPr="00786E7A">
        <w:rPr>
          <w:rFonts w:ascii="Times New Roman" w:hAnsi="Times New Roman" w:cs="Times New Roman"/>
          <w:sz w:val="24"/>
          <w:szCs w:val="24"/>
        </w:rPr>
        <w:t>ilişkin kontroller</w:t>
      </w:r>
      <w:r w:rsidR="000D35A3" w:rsidRPr="00786E7A">
        <w:rPr>
          <w:rFonts w:ascii="Times New Roman" w:hAnsi="Times New Roman" w:cs="Times New Roman"/>
          <w:sz w:val="24"/>
          <w:szCs w:val="24"/>
        </w:rPr>
        <w:t xml:space="preserve"> (risk yönetimi çerçevesinde yapılacak kontrol ve raporlama)</w:t>
      </w:r>
      <w:r w:rsidRPr="00786E7A">
        <w:rPr>
          <w:rFonts w:ascii="Times New Roman" w:hAnsi="Times New Roman" w:cs="Times New Roman"/>
          <w:sz w:val="24"/>
          <w:szCs w:val="24"/>
        </w:rPr>
        <w:t xml:space="preserve"> risk yönetim sürecinin ayrılmaz bir parçasıdır.</w:t>
      </w:r>
    </w:p>
    <w:p w:rsidR="002D6087" w:rsidRDefault="002D6087" w:rsidP="002D6087">
      <w:pPr>
        <w:pStyle w:val="ListParagraph"/>
        <w:jc w:val="both"/>
        <w:rPr>
          <w:rFonts w:ascii="Times New Roman" w:hAnsi="Times New Roman" w:cs="Times New Roman"/>
          <w:sz w:val="24"/>
          <w:szCs w:val="24"/>
        </w:rPr>
      </w:pPr>
    </w:p>
    <w:p w:rsidR="002D6087" w:rsidRDefault="002D6087" w:rsidP="0006161B">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Portföye dahil edilen kaldıraç yaratan işlemlerin değerlemesine ilişkin olarak Finansal Raporlama Tebliği </w:t>
      </w:r>
      <w:r w:rsidR="007E2D49">
        <w:rPr>
          <w:rFonts w:ascii="Times New Roman" w:hAnsi="Times New Roman" w:cs="Times New Roman"/>
          <w:sz w:val="24"/>
          <w:szCs w:val="24"/>
        </w:rPr>
        <w:t xml:space="preserve">ve bu Rehber’de belirlenen esaslara </w:t>
      </w:r>
      <w:r>
        <w:rPr>
          <w:rFonts w:ascii="Times New Roman" w:hAnsi="Times New Roman" w:cs="Times New Roman"/>
          <w:sz w:val="24"/>
          <w:szCs w:val="24"/>
        </w:rPr>
        <w:t>uyulur.</w:t>
      </w:r>
    </w:p>
    <w:p w:rsidR="002D6087" w:rsidRDefault="002D6087" w:rsidP="002D6087">
      <w:pPr>
        <w:pStyle w:val="ListParagraph"/>
        <w:jc w:val="both"/>
        <w:rPr>
          <w:rFonts w:ascii="Times New Roman" w:hAnsi="Times New Roman" w:cs="Times New Roman"/>
          <w:sz w:val="24"/>
          <w:szCs w:val="24"/>
        </w:rPr>
      </w:pPr>
    </w:p>
    <w:p w:rsidR="002D6087" w:rsidRDefault="002D6087" w:rsidP="0006161B">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Garantili ve koruma amaçlı fonlar ile serbest yatırım fonlarına ilişkin </w:t>
      </w:r>
      <w:r w:rsidR="005F22C0">
        <w:rPr>
          <w:rFonts w:ascii="Times New Roman" w:hAnsi="Times New Roman" w:cs="Times New Roman"/>
          <w:sz w:val="24"/>
          <w:szCs w:val="24"/>
        </w:rPr>
        <w:t xml:space="preserve">olarak </w:t>
      </w:r>
      <w:r w:rsidR="00EF75CB">
        <w:rPr>
          <w:rFonts w:ascii="Times New Roman" w:hAnsi="Times New Roman" w:cs="Times New Roman"/>
          <w:sz w:val="24"/>
          <w:szCs w:val="24"/>
        </w:rPr>
        <w:t xml:space="preserve">bu </w:t>
      </w:r>
      <w:r>
        <w:rPr>
          <w:rFonts w:ascii="Times New Roman" w:hAnsi="Times New Roman" w:cs="Times New Roman"/>
          <w:sz w:val="24"/>
          <w:szCs w:val="24"/>
        </w:rPr>
        <w:t xml:space="preserve">Rehber’in </w:t>
      </w:r>
      <w:r w:rsidR="00180CBC" w:rsidRPr="00180CBC">
        <w:rPr>
          <w:rFonts w:ascii="Times New Roman" w:hAnsi="Times New Roman" w:cs="Times New Roman"/>
          <w:sz w:val="24"/>
          <w:szCs w:val="24"/>
        </w:rPr>
        <w:t>(7.8</w:t>
      </w:r>
      <w:r w:rsidR="0025040E">
        <w:rPr>
          <w:rFonts w:ascii="Times New Roman" w:hAnsi="Times New Roman" w:cs="Times New Roman"/>
          <w:sz w:val="24"/>
          <w:szCs w:val="24"/>
        </w:rPr>
        <w:t>.</w:t>
      </w:r>
      <w:r w:rsidR="00180CBC" w:rsidRPr="00180CBC">
        <w:rPr>
          <w:rFonts w:ascii="Times New Roman" w:hAnsi="Times New Roman" w:cs="Times New Roman"/>
          <w:sz w:val="24"/>
          <w:szCs w:val="24"/>
        </w:rPr>
        <w:t>) ve (7.9</w:t>
      </w:r>
      <w:r w:rsidR="0025040E">
        <w:rPr>
          <w:rFonts w:ascii="Times New Roman" w:hAnsi="Times New Roman" w:cs="Times New Roman"/>
          <w:sz w:val="24"/>
          <w:szCs w:val="24"/>
        </w:rPr>
        <w:t>.</w:t>
      </w:r>
      <w:r w:rsidR="00180CBC" w:rsidRPr="00180CBC">
        <w:rPr>
          <w:rFonts w:ascii="Times New Roman" w:hAnsi="Times New Roman" w:cs="Times New Roman"/>
          <w:sz w:val="24"/>
          <w:szCs w:val="24"/>
        </w:rPr>
        <w:t xml:space="preserve">) </w:t>
      </w:r>
      <w:r w:rsidR="00180CBC" w:rsidRPr="00FF0603">
        <w:rPr>
          <w:rFonts w:ascii="Times New Roman" w:hAnsi="Times New Roman" w:cs="Times New Roman"/>
          <w:sz w:val="24"/>
          <w:szCs w:val="24"/>
        </w:rPr>
        <w:t>nolu</w:t>
      </w:r>
      <w:r w:rsidR="00FF0603" w:rsidRPr="00FF0603">
        <w:rPr>
          <w:rFonts w:ascii="Times New Roman" w:hAnsi="Times New Roman" w:cs="Times New Roman"/>
          <w:sz w:val="24"/>
          <w:szCs w:val="24"/>
        </w:rPr>
        <w:t xml:space="preserve"> </w:t>
      </w:r>
      <w:r w:rsidRPr="00FF0603">
        <w:rPr>
          <w:rFonts w:ascii="Times New Roman" w:hAnsi="Times New Roman" w:cs="Times New Roman"/>
          <w:sz w:val="24"/>
          <w:szCs w:val="24"/>
        </w:rPr>
        <w:t>bölüm</w:t>
      </w:r>
      <w:r w:rsidR="00180CBC" w:rsidRPr="00FF0603">
        <w:rPr>
          <w:rFonts w:ascii="Times New Roman" w:hAnsi="Times New Roman" w:cs="Times New Roman"/>
          <w:sz w:val="24"/>
          <w:szCs w:val="24"/>
        </w:rPr>
        <w:t>leri</w:t>
      </w:r>
      <w:r w:rsidRPr="00180CBC">
        <w:rPr>
          <w:rFonts w:ascii="Times New Roman" w:hAnsi="Times New Roman" w:cs="Times New Roman"/>
          <w:sz w:val="24"/>
          <w:szCs w:val="24"/>
        </w:rPr>
        <w:t>nde</w:t>
      </w:r>
      <w:r>
        <w:rPr>
          <w:rFonts w:ascii="Times New Roman" w:hAnsi="Times New Roman" w:cs="Times New Roman"/>
          <w:sz w:val="24"/>
          <w:szCs w:val="24"/>
        </w:rPr>
        <w:t xml:space="preserve"> yer alan esaslar saklıdır.</w:t>
      </w:r>
    </w:p>
    <w:p w:rsidR="002D6087" w:rsidRDefault="002D6087" w:rsidP="002D6087">
      <w:pPr>
        <w:pStyle w:val="ListParagraph"/>
        <w:ind w:left="0"/>
        <w:jc w:val="both"/>
        <w:rPr>
          <w:rFonts w:ascii="Times New Roman" w:hAnsi="Times New Roman" w:cs="Times New Roman"/>
          <w:sz w:val="24"/>
          <w:szCs w:val="24"/>
        </w:rPr>
      </w:pPr>
    </w:p>
    <w:p w:rsidR="00FF0603" w:rsidRDefault="00FF0603" w:rsidP="002D6087">
      <w:pPr>
        <w:pStyle w:val="ListParagraph"/>
        <w:ind w:left="0"/>
        <w:jc w:val="both"/>
        <w:rPr>
          <w:rFonts w:ascii="Times New Roman" w:hAnsi="Times New Roman" w:cs="Times New Roman"/>
          <w:sz w:val="24"/>
          <w:szCs w:val="24"/>
        </w:rPr>
      </w:pPr>
    </w:p>
    <w:p w:rsidR="004552FF" w:rsidRDefault="004552FF" w:rsidP="002D6087">
      <w:pPr>
        <w:pStyle w:val="ListParagraph"/>
        <w:ind w:left="0"/>
        <w:jc w:val="both"/>
        <w:rPr>
          <w:rFonts w:ascii="Times New Roman" w:hAnsi="Times New Roman" w:cs="Times New Roman"/>
          <w:sz w:val="24"/>
          <w:szCs w:val="24"/>
        </w:rPr>
      </w:pPr>
    </w:p>
    <w:p w:rsidR="002D6087" w:rsidRDefault="002D6087" w:rsidP="00F47904">
      <w:pPr>
        <w:pStyle w:val="Heading2"/>
      </w:pPr>
      <w:bookmarkStart w:id="223" w:name="_Toc383963250"/>
      <w:bookmarkStart w:id="224" w:name="_Toc130312595"/>
      <w:bookmarkStart w:id="225" w:name="_Toc130312728"/>
      <w:r w:rsidRPr="00625930">
        <w:t>7.3. Dayanak Varlıklara İlişkin Esaslar</w:t>
      </w:r>
      <w:bookmarkEnd w:id="223"/>
      <w:bookmarkEnd w:id="224"/>
      <w:bookmarkEnd w:id="225"/>
      <w:r w:rsidR="000E1C31">
        <w:t xml:space="preserve"> (Değişiklik: </w:t>
      </w:r>
      <w:r w:rsidR="000E1C31" w:rsidRPr="009B28B2">
        <w:rPr>
          <w:rFonts w:cs="Times New Roman"/>
          <w:szCs w:val="24"/>
        </w:rPr>
        <w:t>21.03.2023 tarih ve 17/366 sayılı Kurul Kararı ile)</w:t>
      </w:r>
    </w:p>
    <w:p w:rsidR="002D6087" w:rsidRPr="00B57EF2" w:rsidRDefault="002D6087" w:rsidP="002D6087">
      <w:pPr>
        <w:pStyle w:val="ListParagraph"/>
        <w:ind w:left="0"/>
        <w:jc w:val="both"/>
        <w:rPr>
          <w:rFonts w:ascii="Times New Roman" w:hAnsi="Times New Roman" w:cs="Times New Roman"/>
          <w:b/>
          <w:sz w:val="24"/>
          <w:szCs w:val="24"/>
        </w:rPr>
      </w:pPr>
    </w:p>
    <w:p w:rsidR="002D6087" w:rsidRDefault="002D6087" w:rsidP="00F47904">
      <w:pPr>
        <w:pStyle w:val="ListParagraph"/>
        <w:ind w:left="0" w:firstLine="699"/>
        <w:jc w:val="both"/>
        <w:rPr>
          <w:rFonts w:ascii="Times New Roman" w:hAnsi="Times New Roman" w:cs="Times New Roman"/>
          <w:sz w:val="24"/>
          <w:szCs w:val="24"/>
        </w:rPr>
      </w:pPr>
      <w:r>
        <w:rPr>
          <w:rFonts w:ascii="Times New Roman" w:hAnsi="Times New Roman" w:cs="Times New Roman"/>
          <w:sz w:val="24"/>
          <w:szCs w:val="24"/>
        </w:rPr>
        <w:t>Fonlar</w:t>
      </w:r>
      <w:r w:rsidRPr="00B57EF2">
        <w:rPr>
          <w:rFonts w:ascii="Times New Roman" w:hAnsi="Times New Roman" w:cs="Times New Roman"/>
          <w:sz w:val="24"/>
          <w:szCs w:val="24"/>
        </w:rPr>
        <w:t xml:space="preserve"> tarafından</w:t>
      </w:r>
      <w:r>
        <w:rPr>
          <w:rFonts w:ascii="Times New Roman" w:hAnsi="Times New Roman" w:cs="Times New Roman"/>
          <w:sz w:val="24"/>
          <w:szCs w:val="24"/>
        </w:rPr>
        <w:t>;</w:t>
      </w:r>
    </w:p>
    <w:p w:rsidR="000E1C31" w:rsidRPr="00B57EF2" w:rsidRDefault="000E1C31" w:rsidP="000E1C31">
      <w:pPr>
        <w:pStyle w:val="ListParagraph"/>
        <w:ind w:left="0" w:firstLine="699"/>
        <w:jc w:val="both"/>
        <w:rPr>
          <w:rFonts w:ascii="Times New Roman" w:hAnsi="Times New Roman" w:cs="Times New Roman"/>
          <w:sz w:val="24"/>
          <w:szCs w:val="24"/>
        </w:rPr>
      </w:pPr>
      <w:r>
        <w:rPr>
          <w:rFonts w:ascii="Times New Roman" w:hAnsi="Times New Roman" w:cs="Times New Roman"/>
          <w:sz w:val="24"/>
          <w:szCs w:val="24"/>
        </w:rPr>
        <w:t xml:space="preserve">a) </w:t>
      </w:r>
      <w:r w:rsidR="002D6087">
        <w:rPr>
          <w:rFonts w:ascii="Times New Roman" w:hAnsi="Times New Roman" w:cs="Times New Roman"/>
          <w:sz w:val="24"/>
          <w:szCs w:val="24"/>
        </w:rPr>
        <w:t xml:space="preserve">Fon </w:t>
      </w:r>
      <w:r w:rsidR="002D6087" w:rsidRPr="00B57EF2">
        <w:rPr>
          <w:rFonts w:ascii="Times New Roman" w:hAnsi="Times New Roman" w:cs="Times New Roman"/>
          <w:sz w:val="24"/>
          <w:szCs w:val="24"/>
        </w:rPr>
        <w:t>Tebliğ</w:t>
      </w:r>
      <w:r w:rsidR="002D6087">
        <w:rPr>
          <w:rFonts w:ascii="Times New Roman" w:hAnsi="Times New Roman" w:cs="Times New Roman"/>
          <w:sz w:val="24"/>
          <w:szCs w:val="24"/>
        </w:rPr>
        <w:t>i</w:t>
      </w:r>
      <w:r w:rsidR="002D6087" w:rsidRPr="00B57EF2">
        <w:rPr>
          <w:rFonts w:ascii="Times New Roman" w:hAnsi="Times New Roman" w:cs="Times New Roman"/>
          <w:sz w:val="24"/>
          <w:szCs w:val="24"/>
        </w:rPr>
        <w:t>’</w:t>
      </w:r>
      <w:r w:rsidR="002D6087">
        <w:rPr>
          <w:rFonts w:ascii="Times New Roman" w:hAnsi="Times New Roman" w:cs="Times New Roman"/>
          <w:sz w:val="24"/>
          <w:szCs w:val="24"/>
        </w:rPr>
        <w:t>n</w:t>
      </w:r>
      <w:r w:rsidR="002D6087" w:rsidRPr="00B57EF2">
        <w:rPr>
          <w:rFonts w:ascii="Times New Roman" w:hAnsi="Times New Roman" w:cs="Times New Roman"/>
          <w:sz w:val="24"/>
          <w:szCs w:val="24"/>
        </w:rPr>
        <w:t xml:space="preserve">in 4’üncü maddesinde sayılan ve aynı maddenin (j) bendi uyarınca Kurulca uygun görülen varlıklara, </w:t>
      </w:r>
      <w:r>
        <w:rPr>
          <w:rFonts w:ascii="Times New Roman" w:hAnsi="Times New Roman" w:cs="Times New Roman"/>
          <w:sz w:val="24"/>
          <w:szCs w:val="24"/>
        </w:rPr>
        <w:t xml:space="preserve">faize, döviz/kura, finansal endekslere </w:t>
      </w:r>
      <w:r w:rsidRPr="00104D15">
        <w:rPr>
          <w:rFonts w:ascii="Times New Roman" w:hAnsi="Times New Roman" w:cs="Times New Roman"/>
          <w:sz w:val="24"/>
          <w:szCs w:val="24"/>
        </w:rPr>
        <w:t xml:space="preserve">dayalı türev araçlara, varantlara ve sertifikalara yatırım yapılabilir. </w:t>
      </w:r>
    </w:p>
    <w:p w:rsidR="000E1C31" w:rsidRDefault="000E1C31" w:rsidP="00F47904">
      <w:pPr>
        <w:pStyle w:val="ListParagraph"/>
        <w:ind w:left="0" w:firstLine="699"/>
        <w:jc w:val="both"/>
        <w:rPr>
          <w:rFonts w:ascii="Times New Roman" w:eastAsia="Times New Roman" w:hAnsi="Times New Roman" w:cs="Times New Roman"/>
          <w:sz w:val="24"/>
          <w:szCs w:val="24"/>
          <w:lang w:eastAsia="tr-TR"/>
        </w:rPr>
      </w:pPr>
      <w:r>
        <w:rPr>
          <w:rFonts w:ascii="Times New Roman" w:hAnsi="Times New Roman" w:cs="Times New Roman"/>
          <w:sz w:val="24"/>
          <w:szCs w:val="24"/>
        </w:rPr>
        <w:t xml:space="preserve">b) Emtiaya dayalı </w:t>
      </w:r>
      <w:r w:rsidRPr="000E1C31">
        <w:rPr>
          <w:rFonts w:ascii="Times New Roman" w:hAnsi="Times New Roman" w:cs="Times New Roman"/>
          <w:sz w:val="24"/>
          <w:szCs w:val="24"/>
        </w:rPr>
        <w:t>borsa yatırım fonları aracılığıyla dolaylı olarak fon portföyüne dahil edilen emtiaya dayalı türev araç işlemleri hariç olmak üzere</w:t>
      </w:r>
      <w:r>
        <w:rPr>
          <w:rFonts w:ascii="Times New Roman" w:hAnsi="Times New Roman" w:cs="Times New Roman"/>
          <w:sz w:val="24"/>
          <w:szCs w:val="24"/>
        </w:rPr>
        <w:t>,</w:t>
      </w:r>
      <w:r w:rsidRPr="000E1C31">
        <w:rPr>
          <w:rFonts w:ascii="Times New Roman" w:hAnsi="Times New Roman" w:cs="Times New Roman"/>
          <w:sz w:val="24"/>
          <w:szCs w:val="24"/>
        </w:rPr>
        <w:t xml:space="preserve"> </w:t>
      </w:r>
      <w:r w:rsidRPr="00104D15">
        <w:rPr>
          <w:rFonts w:ascii="Times New Roman" w:hAnsi="Times New Roman" w:cs="Times New Roman"/>
          <w:sz w:val="24"/>
          <w:szCs w:val="24"/>
        </w:rPr>
        <w:t xml:space="preserve">saklı türev araç ve swap sözleşmeleri ile yukarıda </w:t>
      </w:r>
      <w:r w:rsidRPr="00104D15">
        <w:rPr>
          <w:rFonts w:ascii="Times New Roman" w:eastAsia="Times New Roman" w:hAnsi="Times New Roman" w:cs="Times New Roman"/>
          <w:sz w:val="24"/>
          <w:szCs w:val="24"/>
          <w:lang w:eastAsia="tr-TR"/>
        </w:rPr>
        <w:t>sıralanan varlıklar dışındaki varlıklara dolaylı olarak yatırım yapıl</w:t>
      </w:r>
      <w:r>
        <w:rPr>
          <w:rFonts w:ascii="Times New Roman" w:eastAsia="Times New Roman" w:hAnsi="Times New Roman" w:cs="Times New Roman"/>
          <w:sz w:val="24"/>
          <w:szCs w:val="24"/>
          <w:lang w:eastAsia="tr-TR"/>
        </w:rPr>
        <w:t>amaz.</w:t>
      </w:r>
    </w:p>
    <w:p w:rsidR="002D6087" w:rsidRDefault="000E1C31" w:rsidP="00F47904">
      <w:pPr>
        <w:pStyle w:val="ListParagraph"/>
        <w:ind w:left="0" w:firstLine="699"/>
        <w:jc w:val="both"/>
        <w:rPr>
          <w:rFonts w:ascii="Times New Roman" w:hAnsi="Times New Roman" w:cs="Times New Roman"/>
          <w:sz w:val="24"/>
          <w:szCs w:val="24"/>
        </w:rPr>
      </w:pPr>
      <w:r>
        <w:rPr>
          <w:rFonts w:ascii="Times New Roman" w:hAnsi="Times New Roman" w:cs="Times New Roman"/>
          <w:sz w:val="24"/>
          <w:szCs w:val="24"/>
        </w:rPr>
        <w:t>c)</w:t>
      </w:r>
      <w:r w:rsidRPr="00E31041">
        <w:rPr>
          <w:i/>
          <w:sz w:val="24"/>
          <w:szCs w:val="24"/>
        </w:rPr>
        <w:t xml:space="preserve"> </w:t>
      </w:r>
      <w:r w:rsidR="002D6087" w:rsidRPr="00B57EF2">
        <w:rPr>
          <w:rFonts w:ascii="Times New Roman" w:hAnsi="Times New Roman" w:cs="Times New Roman"/>
          <w:sz w:val="24"/>
          <w:szCs w:val="24"/>
        </w:rPr>
        <w:t>Fon portföyüne alınacak türev araçlara</w:t>
      </w:r>
      <w:r w:rsidR="00EF75CB">
        <w:rPr>
          <w:rFonts w:ascii="Times New Roman" w:hAnsi="Times New Roman" w:cs="Times New Roman"/>
          <w:sz w:val="24"/>
          <w:szCs w:val="24"/>
        </w:rPr>
        <w:t>, varantlara ve sertifikalara</w:t>
      </w:r>
      <w:r w:rsidR="00880274">
        <w:rPr>
          <w:rFonts w:ascii="Times New Roman" w:hAnsi="Times New Roman" w:cs="Times New Roman"/>
          <w:sz w:val="24"/>
          <w:szCs w:val="24"/>
        </w:rPr>
        <w:t xml:space="preserve"> </w:t>
      </w:r>
      <w:r w:rsidR="002D6087">
        <w:rPr>
          <w:rFonts w:ascii="Times New Roman" w:hAnsi="Times New Roman" w:cs="Times New Roman"/>
          <w:sz w:val="24"/>
          <w:szCs w:val="24"/>
        </w:rPr>
        <w:t>d</w:t>
      </w:r>
      <w:r w:rsidR="002D6087" w:rsidRPr="00B57EF2">
        <w:rPr>
          <w:rFonts w:ascii="Times New Roman" w:hAnsi="Times New Roman" w:cs="Times New Roman"/>
          <w:sz w:val="24"/>
          <w:szCs w:val="24"/>
        </w:rPr>
        <w:t>ayanak ola</w:t>
      </w:r>
      <w:r w:rsidR="002D6087">
        <w:rPr>
          <w:rFonts w:ascii="Times New Roman" w:hAnsi="Times New Roman" w:cs="Times New Roman"/>
          <w:sz w:val="24"/>
          <w:szCs w:val="24"/>
        </w:rPr>
        <w:t>n</w:t>
      </w:r>
      <w:r w:rsidR="002D6087" w:rsidRPr="00B57EF2">
        <w:rPr>
          <w:rFonts w:ascii="Times New Roman" w:hAnsi="Times New Roman" w:cs="Times New Roman"/>
          <w:sz w:val="24"/>
          <w:szCs w:val="24"/>
        </w:rPr>
        <w:t xml:space="preserve"> endeksler</w:t>
      </w:r>
      <w:r w:rsidR="002D6087">
        <w:rPr>
          <w:rFonts w:ascii="Times New Roman" w:hAnsi="Times New Roman" w:cs="Times New Roman"/>
          <w:sz w:val="24"/>
          <w:szCs w:val="24"/>
        </w:rPr>
        <w:t>in bileşenleri,</w:t>
      </w:r>
      <w:r w:rsidR="00880274">
        <w:rPr>
          <w:rFonts w:ascii="Times New Roman" w:hAnsi="Times New Roman" w:cs="Times New Roman"/>
          <w:sz w:val="24"/>
          <w:szCs w:val="24"/>
        </w:rPr>
        <w:t xml:space="preserve"> </w:t>
      </w:r>
      <w:r w:rsidR="007F735A">
        <w:rPr>
          <w:rFonts w:ascii="Times New Roman" w:hAnsi="Times New Roman" w:cs="Times New Roman"/>
          <w:sz w:val="24"/>
          <w:szCs w:val="24"/>
        </w:rPr>
        <w:t xml:space="preserve">Fon Tebliği ve bu Rehber </w:t>
      </w:r>
      <w:r w:rsidR="002D6087">
        <w:rPr>
          <w:rFonts w:ascii="Times New Roman" w:hAnsi="Times New Roman" w:cs="Times New Roman"/>
          <w:sz w:val="24"/>
          <w:szCs w:val="24"/>
        </w:rPr>
        <w:t xml:space="preserve">çerçevesinde </w:t>
      </w:r>
      <w:r w:rsidR="002D6087" w:rsidRPr="00B57EF2">
        <w:rPr>
          <w:rFonts w:ascii="Times New Roman" w:hAnsi="Times New Roman" w:cs="Times New Roman"/>
          <w:sz w:val="24"/>
          <w:szCs w:val="24"/>
        </w:rPr>
        <w:t>fon portföyüne alınabilecek varlı</w:t>
      </w:r>
      <w:r w:rsidR="002D6087">
        <w:rPr>
          <w:rFonts w:ascii="Times New Roman" w:hAnsi="Times New Roman" w:cs="Times New Roman"/>
          <w:sz w:val="24"/>
          <w:szCs w:val="24"/>
        </w:rPr>
        <w:t>klardan oluşmalıdır.</w:t>
      </w:r>
    </w:p>
    <w:p w:rsidR="000E1C31" w:rsidRDefault="000E1C31" w:rsidP="00F47904">
      <w:pPr>
        <w:pStyle w:val="ListParagraph"/>
        <w:ind w:left="0" w:firstLine="699"/>
        <w:jc w:val="both"/>
        <w:rPr>
          <w:rFonts w:ascii="Times New Roman" w:hAnsi="Times New Roman" w:cs="Times New Roman"/>
          <w:sz w:val="24"/>
          <w:szCs w:val="24"/>
        </w:rPr>
      </w:pPr>
      <w:r>
        <w:rPr>
          <w:rFonts w:ascii="Times New Roman" w:hAnsi="Times New Roman" w:cs="Times New Roman"/>
          <w:sz w:val="24"/>
          <w:szCs w:val="24"/>
        </w:rPr>
        <w:t xml:space="preserve">d) </w:t>
      </w:r>
      <w:r w:rsidRPr="000E1C31">
        <w:rPr>
          <w:rFonts w:ascii="Times New Roman" w:hAnsi="Times New Roman" w:cs="Times New Roman"/>
          <w:sz w:val="24"/>
          <w:szCs w:val="24"/>
        </w:rPr>
        <w:t>Serbest fonlar tarafından (a) bendinde sayılan varlıklara ilave olarak borsa dışından emtiaya/mala dayalı varlıklara yatırım yapılabilir.</w:t>
      </w:r>
    </w:p>
    <w:p w:rsidR="00180CBC" w:rsidRDefault="00180CBC" w:rsidP="00F47904">
      <w:pPr>
        <w:pStyle w:val="ListParagraph"/>
        <w:ind w:left="0" w:firstLine="699"/>
        <w:jc w:val="both"/>
        <w:rPr>
          <w:rFonts w:ascii="Times New Roman" w:hAnsi="Times New Roman" w:cs="Times New Roman"/>
          <w:sz w:val="24"/>
          <w:szCs w:val="24"/>
        </w:rPr>
      </w:pPr>
    </w:p>
    <w:p w:rsidR="002D6087" w:rsidRDefault="002D6087" w:rsidP="00F47904">
      <w:pPr>
        <w:pStyle w:val="Heading2"/>
        <w:rPr>
          <w:rFonts w:eastAsia="Times New Roman"/>
          <w:lang w:eastAsia="tr-TR"/>
        </w:rPr>
      </w:pPr>
      <w:bookmarkStart w:id="226" w:name="_Toc383963251"/>
      <w:bookmarkStart w:id="227" w:name="_Toc130312596"/>
      <w:bookmarkStart w:id="228" w:name="_Toc130312729"/>
      <w:r>
        <w:t xml:space="preserve">7.4. </w:t>
      </w:r>
      <w:r>
        <w:rPr>
          <w:rFonts w:eastAsia="Times New Roman"/>
          <w:lang w:eastAsia="tr-TR"/>
        </w:rPr>
        <w:t>Borsa Dışında Taraf Olunan Türev Araç ve Swap Sözleşmelerine İlişkin Esaslar</w:t>
      </w:r>
      <w:bookmarkEnd w:id="226"/>
      <w:bookmarkEnd w:id="227"/>
      <w:bookmarkEnd w:id="228"/>
    </w:p>
    <w:p w:rsidR="002D6087" w:rsidRDefault="002D6087" w:rsidP="002D6087">
      <w:pPr>
        <w:shd w:val="clear" w:color="auto" w:fill="FFFFFF"/>
        <w:spacing w:after="0" w:line="255" w:lineRule="atLeast"/>
        <w:jc w:val="both"/>
        <w:rPr>
          <w:rFonts w:ascii="Times New Roman" w:eastAsia="Times New Roman" w:hAnsi="Times New Roman" w:cs="Times New Roman"/>
          <w:b/>
          <w:bCs/>
          <w:sz w:val="24"/>
          <w:szCs w:val="24"/>
          <w:lang w:eastAsia="tr-TR"/>
        </w:rPr>
      </w:pPr>
    </w:p>
    <w:p w:rsidR="002D6087" w:rsidRDefault="002D6087" w:rsidP="0006161B">
      <w:pPr>
        <w:pStyle w:val="ListParagraph"/>
        <w:numPr>
          <w:ilvl w:val="0"/>
          <w:numId w:val="68"/>
        </w:numPr>
        <w:shd w:val="clear" w:color="auto" w:fill="FFFFFF"/>
        <w:spacing w:after="0" w:line="255"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Borsa dışında taraf olunan</w:t>
      </w:r>
      <w:r w:rsidR="00FB2B3C">
        <w:rPr>
          <w:rFonts w:ascii="Times New Roman" w:eastAsia="Times New Roman" w:hAnsi="Times New Roman" w:cs="Times New Roman"/>
          <w:sz w:val="24"/>
          <w:szCs w:val="24"/>
          <w:lang w:eastAsia="tr-TR"/>
        </w:rPr>
        <w:t xml:space="preserve"> </w:t>
      </w:r>
      <w:r w:rsidR="00D572A4">
        <w:rPr>
          <w:rFonts w:ascii="Times New Roman" w:eastAsia="Times New Roman" w:hAnsi="Times New Roman" w:cs="Times New Roman"/>
          <w:sz w:val="24"/>
          <w:szCs w:val="24"/>
          <w:lang w:eastAsia="tr-TR"/>
        </w:rPr>
        <w:t>türev araç ve swap</w:t>
      </w:r>
      <w:r w:rsidR="00FB2B3C">
        <w:rPr>
          <w:rFonts w:ascii="Times New Roman" w:eastAsia="Times New Roman" w:hAnsi="Times New Roman" w:cs="Times New Roman"/>
          <w:sz w:val="24"/>
          <w:szCs w:val="24"/>
          <w:lang w:eastAsia="tr-TR"/>
        </w:rPr>
        <w:t xml:space="preserve"> </w:t>
      </w:r>
      <w:r w:rsidRPr="00F36888">
        <w:rPr>
          <w:rFonts w:ascii="Times New Roman" w:eastAsia="Times New Roman" w:hAnsi="Times New Roman" w:cs="Times New Roman"/>
          <w:sz w:val="24"/>
          <w:szCs w:val="24"/>
          <w:lang w:eastAsia="tr-TR"/>
        </w:rPr>
        <w:t>sözleşmeler</w:t>
      </w:r>
      <w:r w:rsidR="003966D0">
        <w:rPr>
          <w:rFonts w:ascii="Times New Roman" w:eastAsia="Times New Roman" w:hAnsi="Times New Roman" w:cs="Times New Roman"/>
          <w:sz w:val="24"/>
          <w:szCs w:val="24"/>
          <w:lang w:eastAsia="tr-TR"/>
        </w:rPr>
        <w:t>i</w:t>
      </w:r>
      <w:r w:rsidRPr="00F36888">
        <w:rPr>
          <w:rFonts w:ascii="Times New Roman" w:eastAsia="Times New Roman" w:hAnsi="Times New Roman" w:cs="Times New Roman"/>
          <w:sz w:val="24"/>
          <w:szCs w:val="24"/>
          <w:lang w:eastAsia="tr-TR"/>
        </w:rPr>
        <w:t xml:space="preserve"> nedeniyle maruz kalınan karşı taraf riski, </w:t>
      </w:r>
      <w:r w:rsidR="00401538">
        <w:rPr>
          <w:rFonts w:ascii="Times New Roman" w:eastAsia="Times New Roman" w:hAnsi="Times New Roman" w:cs="Times New Roman"/>
          <w:sz w:val="24"/>
          <w:szCs w:val="24"/>
          <w:lang w:eastAsia="tr-TR"/>
        </w:rPr>
        <w:t>piyasaya göre ayarlama (mark to market) yöntemi</w:t>
      </w:r>
      <w:r w:rsidR="000C570D">
        <w:rPr>
          <w:rStyle w:val="FootnoteReference"/>
          <w:rFonts w:ascii="Times New Roman" w:eastAsia="Times New Roman" w:hAnsi="Times New Roman" w:cs="Times New Roman"/>
          <w:sz w:val="24"/>
          <w:szCs w:val="24"/>
          <w:lang w:eastAsia="tr-TR"/>
        </w:rPr>
        <w:footnoteReference w:id="10"/>
      </w:r>
      <w:r w:rsidR="00401538">
        <w:rPr>
          <w:rFonts w:ascii="Times New Roman" w:eastAsia="Times New Roman" w:hAnsi="Times New Roman" w:cs="Times New Roman"/>
          <w:sz w:val="24"/>
          <w:szCs w:val="24"/>
          <w:lang w:eastAsia="tr-TR"/>
        </w:rPr>
        <w:t xml:space="preserve"> ile </w:t>
      </w:r>
      <w:r w:rsidR="00561FC5">
        <w:rPr>
          <w:rFonts w:ascii="Times New Roman" w:eastAsia="Times New Roman" w:hAnsi="Times New Roman" w:cs="Times New Roman"/>
          <w:sz w:val="24"/>
          <w:szCs w:val="24"/>
          <w:lang w:eastAsia="tr-TR"/>
        </w:rPr>
        <w:t>hesaplanır</w:t>
      </w:r>
      <w:r w:rsidR="00401538">
        <w:rPr>
          <w:rFonts w:ascii="Times New Roman" w:eastAsia="Times New Roman" w:hAnsi="Times New Roman" w:cs="Times New Roman"/>
          <w:sz w:val="24"/>
          <w:szCs w:val="24"/>
          <w:lang w:eastAsia="tr-TR"/>
        </w:rPr>
        <w:t xml:space="preserve"> ve karşı taraf riski </w:t>
      </w:r>
      <w:r w:rsidRPr="00E61BBD">
        <w:rPr>
          <w:rFonts w:ascii="Times New Roman" w:hAnsi="Times New Roman" w:cs="Times New Roman"/>
          <w:sz w:val="24"/>
          <w:szCs w:val="24"/>
        </w:rPr>
        <w:t xml:space="preserve">fon toplam </w:t>
      </w:r>
      <w:r w:rsidRPr="00E61BBD">
        <w:rPr>
          <w:rFonts w:ascii="Times New Roman" w:eastAsia="Times New Roman" w:hAnsi="Times New Roman" w:cs="Times New Roman"/>
          <w:sz w:val="24"/>
          <w:szCs w:val="24"/>
          <w:lang w:eastAsia="tr-TR"/>
        </w:rPr>
        <w:t>değerin</w:t>
      </w:r>
      <w:r w:rsidR="00401538">
        <w:rPr>
          <w:rFonts w:ascii="Times New Roman" w:eastAsia="Times New Roman" w:hAnsi="Times New Roman" w:cs="Times New Roman"/>
          <w:sz w:val="24"/>
          <w:szCs w:val="24"/>
          <w:lang w:eastAsia="tr-TR"/>
        </w:rPr>
        <w:t>in</w:t>
      </w:r>
      <w:r w:rsidR="00FB2B3C">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%10’u</w:t>
      </w:r>
      <w:r w:rsidR="00401538">
        <w:rPr>
          <w:rFonts w:ascii="Times New Roman" w:eastAsia="Times New Roman" w:hAnsi="Times New Roman" w:cs="Times New Roman"/>
          <w:sz w:val="24"/>
          <w:szCs w:val="24"/>
          <w:lang w:eastAsia="tr-TR"/>
        </w:rPr>
        <w:t>nu</w:t>
      </w:r>
      <w:r w:rsidRPr="00F65D26">
        <w:rPr>
          <w:rFonts w:ascii="Times New Roman" w:eastAsia="Times New Roman" w:hAnsi="Times New Roman" w:cs="Times New Roman"/>
          <w:sz w:val="24"/>
          <w:szCs w:val="24"/>
          <w:lang w:eastAsia="tr-TR"/>
        </w:rPr>
        <w:t xml:space="preserve"> aşamaz.</w:t>
      </w:r>
      <w:r w:rsidR="00A65822">
        <w:rPr>
          <w:rFonts w:ascii="Times New Roman" w:eastAsia="Times New Roman" w:hAnsi="Times New Roman" w:cs="Times New Roman"/>
          <w:sz w:val="24"/>
          <w:szCs w:val="24"/>
          <w:lang w:eastAsia="tr-TR"/>
        </w:rPr>
        <w:t xml:space="preserve"> </w:t>
      </w:r>
    </w:p>
    <w:p w:rsidR="00AC35DA" w:rsidRPr="00624897" w:rsidRDefault="00AC35DA" w:rsidP="0006161B">
      <w:pPr>
        <w:pStyle w:val="ListParagraph"/>
        <w:numPr>
          <w:ilvl w:val="0"/>
          <w:numId w:val="68"/>
        </w:numPr>
        <w:shd w:val="clear" w:color="auto" w:fill="FFFFFF"/>
        <w:spacing w:after="0" w:line="255" w:lineRule="atLeast"/>
        <w:jc w:val="both"/>
        <w:rPr>
          <w:rFonts w:ascii="Times New Roman" w:eastAsia="Times New Roman" w:hAnsi="Times New Roman" w:cs="Times New Roman"/>
          <w:b/>
          <w:bCs/>
          <w:sz w:val="24"/>
          <w:szCs w:val="24"/>
          <w:lang w:eastAsia="tr-TR"/>
        </w:rPr>
      </w:pPr>
      <w:r w:rsidRPr="00BD2ED0">
        <w:rPr>
          <w:rFonts w:ascii="Times New Roman" w:eastAsia="Times New Roman" w:hAnsi="Times New Roman" w:cs="Times New Roman"/>
          <w:sz w:val="24"/>
          <w:szCs w:val="24"/>
          <w:lang w:eastAsia="tr-TR"/>
        </w:rPr>
        <w:t>Borsa dışından fon</w:t>
      </w:r>
      <w:r>
        <w:rPr>
          <w:rFonts w:ascii="Times New Roman" w:eastAsia="Times New Roman" w:hAnsi="Times New Roman" w:cs="Times New Roman"/>
          <w:sz w:val="24"/>
          <w:szCs w:val="24"/>
          <w:lang w:eastAsia="tr-TR"/>
        </w:rPr>
        <w:t xml:space="preserve"> portföyüne alınan türev araç ve swap sözleşmesi</w:t>
      </w:r>
      <w:r w:rsidRPr="00BD2ED0">
        <w:rPr>
          <w:rFonts w:ascii="Times New Roman" w:eastAsia="Times New Roman" w:hAnsi="Times New Roman" w:cs="Times New Roman"/>
          <w:sz w:val="24"/>
          <w:szCs w:val="24"/>
          <w:lang w:eastAsia="tr-TR"/>
        </w:rPr>
        <w:t xml:space="preserve"> için </w:t>
      </w:r>
      <w:r>
        <w:rPr>
          <w:rFonts w:ascii="Times New Roman" w:eastAsia="Times New Roman" w:hAnsi="Times New Roman" w:cs="Times New Roman"/>
          <w:sz w:val="24"/>
          <w:szCs w:val="24"/>
          <w:lang w:eastAsia="tr-TR"/>
        </w:rPr>
        <w:t xml:space="preserve">bu Rehber’in (4.2.7.) nolu bölümünde belirtilen esaslar çerçevesinde </w:t>
      </w:r>
      <w:r w:rsidRPr="00BD2ED0">
        <w:rPr>
          <w:rFonts w:ascii="Times New Roman" w:eastAsia="Times New Roman" w:hAnsi="Times New Roman" w:cs="Times New Roman"/>
          <w:sz w:val="24"/>
          <w:szCs w:val="24"/>
          <w:lang w:eastAsia="tr-TR"/>
        </w:rPr>
        <w:t xml:space="preserve">karşı taraftan teminat alınması halinde, alınan teminat, </w:t>
      </w:r>
      <w:r>
        <w:rPr>
          <w:rFonts w:ascii="Times New Roman" w:eastAsia="Times New Roman" w:hAnsi="Times New Roman" w:cs="Times New Roman"/>
          <w:sz w:val="24"/>
          <w:szCs w:val="24"/>
          <w:lang w:eastAsia="tr-TR"/>
        </w:rPr>
        <w:t xml:space="preserve">ilgili varlığın </w:t>
      </w:r>
      <w:r w:rsidRPr="00BD2ED0">
        <w:rPr>
          <w:rFonts w:ascii="Times New Roman" w:eastAsia="Times New Roman" w:hAnsi="Times New Roman" w:cs="Times New Roman"/>
          <w:sz w:val="24"/>
          <w:szCs w:val="24"/>
          <w:lang w:eastAsia="tr-TR"/>
        </w:rPr>
        <w:t>karşı taraf riskinin hesaplanmasında dikkate alınır.</w:t>
      </w:r>
    </w:p>
    <w:p w:rsidR="002D6087" w:rsidRPr="00766A40" w:rsidRDefault="00AC35DA" w:rsidP="0006161B">
      <w:pPr>
        <w:pStyle w:val="ListParagraph"/>
        <w:numPr>
          <w:ilvl w:val="0"/>
          <w:numId w:val="68"/>
        </w:numPr>
        <w:shd w:val="clear" w:color="auto" w:fill="FFFFFF"/>
        <w:spacing w:after="0" w:line="255"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Piyasaya göre ayarlama yönteminin hesaplama esasları ile b</w:t>
      </w:r>
      <w:r w:rsidR="00C45020" w:rsidRPr="00766A40">
        <w:rPr>
          <w:rFonts w:ascii="Times New Roman" w:eastAsia="Times New Roman" w:hAnsi="Times New Roman" w:cs="Times New Roman"/>
          <w:sz w:val="24"/>
          <w:szCs w:val="24"/>
          <w:lang w:eastAsia="tr-TR"/>
        </w:rPr>
        <w:t xml:space="preserve">u Rehber’in </w:t>
      </w:r>
      <w:r w:rsidR="00766A40" w:rsidRPr="00766A40">
        <w:rPr>
          <w:rFonts w:ascii="Times New Roman" w:eastAsia="Times New Roman" w:hAnsi="Times New Roman" w:cs="Times New Roman"/>
          <w:sz w:val="24"/>
          <w:szCs w:val="24"/>
          <w:lang w:eastAsia="tr-TR"/>
        </w:rPr>
        <w:t>(</w:t>
      </w:r>
      <w:r w:rsidR="00E346FC">
        <w:rPr>
          <w:rFonts w:ascii="Times New Roman" w:eastAsia="Times New Roman" w:hAnsi="Times New Roman" w:cs="Times New Roman"/>
          <w:sz w:val="24"/>
          <w:szCs w:val="24"/>
          <w:lang w:eastAsia="tr-TR"/>
        </w:rPr>
        <w:t>5.2.</w:t>
      </w:r>
      <w:r w:rsidR="00766A40" w:rsidRPr="00766A40">
        <w:rPr>
          <w:rFonts w:ascii="Times New Roman" w:eastAsia="Times New Roman" w:hAnsi="Times New Roman" w:cs="Times New Roman"/>
          <w:sz w:val="24"/>
          <w:szCs w:val="24"/>
          <w:lang w:eastAsia="tr-TR"/>
        </w:rPr>
        <w:t>) nolu</w:t>
      </w:r>
      <w:r>
        <w:rPr>
          <w:rFonts w:ascii="Times New Roman" w:eastAsia="Times New Roman" w:hAnsi="Times New Roman" w:cs="Times New Roman"/>
          <w:sz w:val="24"/>
          <w:szCs w:val="24"/>
          <w:lang w:eastAsia="tr-TR"/>
        </w:rPr>
        <w:t xml:space="preserve"> </w:t>
      </w:r>
      <w:r w:rsidR="00E346FC">
        <w:rPr>
          <w:rFonts w:ascii="Times New Roman" w:eastAsia="Times New Roman" w:hAnsi="Times New Roman" w:cs="Times New Roman"/>
          <w:sz w:val="24"/>
          <w:szCs w:val="24"/>
          <w:lang w:eastAsia="tr-TR"/>
        </w:rPr>
        <w:t>bölümü</w:t>
      </w:r>
      <w:r w:rsidR="00766A40" w:rsidRPr="00766A40">
        <w:rPr>
          <w:rFonts w:ascii="Times New Roman" w:eastAsia="Times New Roman" w:hAnsi="Times New Roman" w:cs="Times New Roman"/>
          <w:sz w:val="24"/>
          <w:szCs w:val="24"/>
          <w:lang w:eastAsia="tr-TR"/>
        </w:rPr>
        <w:t xml:space="preserve"> kapsamında </w:t>
      </w:r>
      <w:r w:rsidR="002D6087" w:rsidRPr="00766A40">
        <w:rPr>
          <w:rFonts w:ascii="Times New Roman" w:eastAsia="Times New Roman" w:hAnsi="Times New Roman" w:cs="Times New Roman"/>
          <w:sz w:val="24"/>
          <w:szCs w:val="24"/>
          <w:lang w:eastAsia="tr-TR"/>
        </w:rPr>
        <w:t xml:space="preserve">uygulanacak değerleme kontrol esaslarına risk yönetim </w:t>
      </w:r>
      <w:r w:rsidR="00667236">
        <w:rPr>
          <w:rFonts w:ascii="Times New Roman" w:eastAsia="Times New Roman" w:hAnsi="Times New Roman" w:cs="Times New Roman"/>
          <w:sz w:val="24"/>
          <w:szCs w:val="24"/>
          <w:lang w:eastAsia="tr-TR"/>
        </w:rPr>
        <w:t>p</w:t>
      </w:r>
      <w:r w:rsidR="002D6087" w:rsidRPr="00766A40">
        <w:rPr>
          <w:rFonts w:ascii="Times New Roman" w:eastAsia="Times New Roman" w:hAnsi="Times New Roman" w:cs="Times New Roman"/>
          <w:sz w:val="24"/>
          <w:szCs w:val="24"/>
          <w:lang w:eastAsia="tr-TR"/>
        </w:rPr>
        <w:t xml:space="preserve">rosedürlerinde yer verilir.   </w:t>
      </w:r>
    </w:p>
    <w:p w:rsidR="00624897" w:rsidRDefault="00624897" w:rsidP="00624897">
      <w:pPr>
        <w:shd w:val="clear" w:color="auto" w:fill="FFFFFF"/>
        <w:spacing w:after="0" w:line="255" w:lineRule="atLeast"/>
        <w:jc w:val="both"/>
        <w:rPr>
          <w:rFonts w:ascii="Times New Roman" w:eastAsia="Times New Roman" w:hAnsi="Times New Roman" w:cs="Times New Roman"/>
          <w:b/>
          <w:bCs/>
          <w:sz w:val="24"/>
          <w:szCs w:val="24"/>
          <w:lang w:eastAsia="tr-TR"/>
        </w:rPr>
      </w:pPr>
    </w:p>
    <w:p w:rsidR="002D6087" w:rsidRDefault="002D6087" w:rsidP="00F47904">
      <w:pPr>
        <w:pStyle w:val="Heading2"/>
      </w:pPr>
      <w:bookmarkStart w:id="229" w:name="_Toc130312597"/>
      <w:bookmarkStart w:id="230" w:name="_Toc130312730"/>
      <w:bookmarkStart w:id="231" w:name="_Toc383963252"/>
      <w:r>
        <w:t>7.5</w:t>
      </w:r>
      <w:r w:rsidRPr="00B57EF2">
        <w:t xml:space="preserve">. </w:t>
      </w:r>
      <w:r>
        <w:t>Açık Pozisyonun</w:t>
      </w:r>
      <w:r w:rsidRPr="00B57EF2">
        <w:t xml:space="preserve"> Ölçüm</w:t>
      </w:r>
      <w:r>
        <w:t>ü</w:t>
      </w:r>
      <w:bookmarkEnd w:id="229"/>
      <w:bookmarkEnd w:id="230"/>
      <w:r w:rsidR="00292402">
        <w:t xml:space="preserve"> </w:t>
      </w:r>
      <w:bookmarkEnd w:id="231"/>
      <w:r w:rsidR="00292402">
        <w:t xml:space="preserve"> </w:t>
      </w:r>
    </w:p>
    <w:p w:rsidR="002D6087" w:rsidRDefault="002D6087" w:rsidP="002D6087">
      <w:pPr>
        <w:autoSpaceDE w:val="0"/>
        <w:autoSpaceDN w:val="0"/>
        <w:adjustRightInd w:val="0"/>
        <w:spacing w:after="0" w:line="240" w:lineRule="auto"/>
        <w:rPr>
          <w:rFonts w:ascii="CenturySchoolbook" w:hAnsi="CenturySchoolbook" w:cs="CenturySchoolbook"/>
          <w:sz w:val="20"/>
          <w:szCs w:val="20"/>
        </w:rPr>
      </w:pPr>
    </w:p>
    <w:p w:rsidR="002D6087" w:rsidRDefault="002D6087" w:rsidP="0006161B">
      <w:pPr>
        <w:pStyle w:val="ListParagraph"/>
        <w:numPr>
          <w:ilvl w:val="0"/>
          <w:numId w:val="1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Fonlar tarafından, a</w:t>
      </w:r>
      <w:r w:rsidRPr="005F0561">
        <w:rPr>
          <w:rFonts w:ascii="Times New Roman" w:hAnsi="Times New Roman" w:cs="Times New Roman"/>
          <w:sz w:val="24"/>
          <w:szCs w:val="24"/>
        </w:rPr>
        <w:t>çık pozisyonun hesaplanmasında “standart yöntem” kullanılır</w:t>
      </w:r>
      <w:r>
        <w:rPr>
          <w:rFonts w:ascii="Times New Roman" w:hAnsi="Times New Roman" w:cs="Times New Roman"/>
          <w:sz w:val="24"/>
          <w:szCs w:val="24"/>
        </w:rPr>
        <w:t>.</w:t>
      </w:r>
    </w:p>
    <w:p w:rsidR="002D6087" w:rsidRPr="005154C8" w:rsidRDefault="002D6087" w:rsidP="0006161B">
      <w:pPr>
        <w:pStyle w:val="ListParagraph"/>
        <w:numPr>
          <w:ilvl w:val="0"/>
          <w:numId w:val="19"/>
        </w:numPr>
        <w:autoSpaceDE w:val="0"/>
        <w:autoSpaceDN w:val="0"/>
        <w:adjustRightInd w:val="0"/>
        <w:spacing w:after="0" w:line="240" w:lineRule="auto"/>
        <w:jc w:val="both"/>
        <w:rPr>
          <w:rFonts w:ascii="Times New Roman" w:hAnsi="Times New Roman" w:cs="Times New Roman"/>
          <w:sz w:val="24"/>
          <w:szCs w:val="24"/>
        </w:rPr>
      </w:pPr>
      <w:r w:rsidRPr="005154C8">
        <w:rPr>
          <w:rFonts w:ascii="Times New Roman" w:hAnsi="Times New Roman" w:cs="Times New Roman"/>
          <w:sz w:val="24"/>
          <w:szCs w:val="24"/>
        </w:rPr>
        <w:t>A</w:t>
      </w:r>
      <w:r>
        <w:rPr>
          <w:rFonts w:ascii="Times New Roman" w:hAnsi="Times New Roman" w:cs="Times New Roman"/>
          <w:sz w:val="24"/>
          <w:szCs w:val="24"/>
        </w:rPr>
        <w:t>şağıda yer alan şartlarda</w:t>
      </w:r>
      <w:r w:rsidRPr="005154C8">
        <w:rPr>
          <w:rFonts w:ascii="Times New Roman" w:hAnsi="Times New Roman" w:cs="Times New Roman"/>
          <w:sz w:val="24"/>
          <w:szCs w:val="24"/>
        </w:rPr>
        <w:t xml:space="preserve">n herhangi birinin varlığı halinde </w:t>
      </w:r>
      <w:r>
        <w:rPr>
          <w:rFonts w:ascii="Times New Roman" w:hAnsi="Times New Roman" w:cs="Times New Roman"/>
          <w:sz w:val="24"/>
          <w:szCs w:val="24"/>
        </w:rPr>
        <w:t xml:space="preserve">kaldıraç yaratan işlemlerden kaynaklanan riskin ölçümünde </w:t>
      </w:r>
      <w:r w:rsidRPr="005154C8">
        <w:rPr>
          <w:rFonts w:ascii="Times New Roman" w:hAnsi="Times New Roman" w:cs="Times New Roman"/>
          <w:sz w:val="24"/>
          <w:szCs w:val="24"/>
        </w:rPr>
        <w:t>Riske Maruz Değer (RMD) yöntemi kullanıl</w:t>
      </w:r>
      <w:r>
        <w:rPr>
          <w:rFonts w:ascii="Times New Roman" w:hAnsi="Times New Roman" w:cs="Times New Roman"/>
          <w:sz w:val="24"/>
          <w:szCs w:val="24"/>
        </w:rPr>
        <w:t xml:space="preserve">ır ve bu durumda (a) bendi çerçevesinde </w:t>
      </w:r>
      <w:r w:rsidR="00713D27">
        <w:rPr>
          <w:rFonts w:ascii="Times New Roman" w:hAnsi="Times New Roman" w:cs="Times New Roman"/>
          <w:sz w:val="24"/>
          <w:szCs w:val="24"/>
        </w:rPr>
        <w:t xml:space="preserve">bu </w:t>
      </w:r>
      <w:r w:rsidR="005F22C0">
        <w:rPr>
          <w:rFonts w:ascii="Times New Roman" w:hAnsi="Times New Roman" w:cs="Times New Roman"/>
          <w:sz w:val="24"/>
          <w:szCs w:val="24"/>
        </w:rPr>
        <w:t>Rehber’in (</w:t>
      </w:r>
      <w:r>
        <w:rPr>
          <w:rFonts w:ascii="Times New Roman" w:hAnsi="Times New Roman" w:cs="Times New Roman"/>
          <w:sz w:val="24"/>
          <w:szCs w:val="24"/>
        </w:rPr>
        <w:t>7.5.1.</w:t>
      </w:r>
      <w:r w:rsidR="005F22C0">
        <w:rPr>
          <w:rFonts w:ascii="Times New Roman" w:hAnsi="Times New Roman" w:cs="Times New Roman"/>
          <w:sz w:val="24"/>
          <w:szCs w:val="24"/>
        </w:rPr>
        <w:t>) nolu</w:t>
      </w:r>
      <w:r>
        <w:rPr>
          <w:rFonts w:ascii="Times New Roman" w:hAnsi="Times New Roman" w:cs="Times New Roman"/>
          <w:sz w:val="24"/>
          <w:szCs w:val="24"/>
        </w:rPr>
        <w:t xml:space="preserve"> bölümünde yer alan hesaplama yapılmaz</w:t>
      </w:r>
      <w:r w:rsidR="003C0A07">
        <w:rPr>
          <w:rFonts w:ascii="Times New Roman" w:hAnsi="Times New Roman" w:cs="Times New Roman"/>
          <w:sz w:val="24"/>
          <w:szCs w:val="24"/>
        </w:rPr>
        <w:t>.</w:t>
      </w:r>
    </w:p>
    <w:p w:rsidR="004B1FF7" w:rsidRPr="00880274" w:rsidRDefault="004B1FF7" w:rsidP="0006161B">
      <w:pPr>
        <w:pStyle w:val="ListParagraph"/>
        <w:numPr>
          <w:ilvl w:val="0"/>
          <w:numId w:val="37"/>
        </w:numPr>
        <w:ind w:left="1701"/>
        <w:jc w:val="both"/>
        <w:rPr>
          <w:rFonts w:ascii="Times New Roman" w:hAnsi="Times New Roman" w:cs="Times New Roman"/>
          <w:sz w:val="24"/>
          <w:szCs w:val="24"/>
        </w:rPr>
      </w:pPr>
      <w:r w:rsidRPr="00880274">
        <w:rPr>
          <w:rFonts w:ascii="Times New Roman" w:hAnsi="Times New Roman" w:cs="Times New Roman"/>
          <w:sz w:val="24"/>
          <w:szCs w:val="24"/>
        </w:rPr>
        <w:t xml:space="preserve">Fon portföyüne </w:t>
      </w:r>
      <w:r w:rsidR="00292402" w:rsidRPr="00880274">
        <w:rPr>
          <w:rFonts w:ascii="Times New Roman" w:hAnsi="Times New Roman" w:cs="Times New Roman"/>
          <w:sz w:val="24"/>
          <w:szCs w:val="24"/>
        </w:rPr>
        <w:t xml:space="preserve">yapılandırılmış yatırım aracı ve/veya </w:t>
      </w:r>
      <w:r w:rsidRPr="00880274">
        <w:rPr>
          <w:rFonts w:ascii="Times New Roman" w:hAnsi="Times New Roman" w:cs="Times New Roman"/>
          <w:sz w:val="24"/>
          <w:szCs w:val="24"/>
        </w:rPr>
        <w:t xml:space="preserve">borsa dışından </w:t>
      </w:r>
      <w:r w:rsidR="002946BB" w:rsidRPr="00880274">
        <w:rPr>
          <w:rFonts w:ascii="Times New Roman" w:hAnsi="Times New Roman" w:cs="Times New Roman"/>
          <w:sz w:val="24"/>
          <w:szCs w:val="24"/>
        </w:rPr>
        <w:t xml:space="preserve">yabancı </w:t>
      </w:r>
      <w:r w:rsidRPr="00880274">
        <w:rPr>
          <w:rFonts w:ascii="Times New Roman" w:hAnsi="Times New Roman" w:cs="Times New Roman"/>
          <w:sz w:val="24"/>
          <w:szCs w:val="24"/>
        </w:rPr>
        <w:t xml:space="preserve">borçlanma aracı </w:t>
      </w:r>
      <w:r w:rsidR="002946BB" w:rsidRPr="00880274">
        <w:rPr>
          <w:rFonts w:ascii="Times New Roman" w:hAnsi="Times New Roman" w:cs="Times New Roman"/>
          <w:sz w:val="24"/>
          <w:szCs w:val="24"/>
        </w:rPr>
        <w:t>ve/</w:t>
      </w:r>
      <w:r w:rsidRPr="00880274">
        <w:rPr>
          <w:rFonts w:ascii="Times New Roman" w:hAnsi="Times New Roman" w:cs="Times New Roman"/>
          <w:sz w:val="24"/>
          <w:szCs w:val="24"/>
        </w:rPr>
        <w:t xml:space="preserve">veya kira sertifikası dahil edilmesi. </w:t>
      </w:r>
    </w:p>
    <w:p w:rsidR="00897D79" w:rsidRDefault="00897D79" w:rsidP="0006161B">
      <w:pPr>
        <w:pStyle w:val="ListParagraph"/>
        <w:numPr>
          <w:ilvl w:val="0"/>
          <w:numId w:val="37"/>
        </w:numPr>
        <w:ind w:left="1701"/>
        <w:jc w:val="both"/>
        <w:rPr>
          <w:rFonts w:ascii="Times New Roman" w:hAnsi="Times New Roman" w:cs="Times New Roman"/>
          <w:sz w:val="24"/>
          <w:szCs w:val="24"/>
        </w:rPr>
      </w:pPr>
      <w:r>
        <w:rPr>
          <w:rFonts w:ascii="Times New Roman" w:hAnsi="Times New Roman" w:cs="Times New Roman"/>
          <w:sz w:val="24"/>
          <w:szCs w:val="24"/>
        </w:rPr>
        <w:t>Y</w:t>
      </w:r>
      <w:r w:rsidRPr="002B688C">
        <w:rPr>
          <w:rFonts w:ascii="Times New Roman" w:hAnsi="Times New Roman" w:cs="Times New Roman"/>
          <w:sz w:val="24"/>
          <w:szCs w:val="24"/>
        </w:rPr>
        <w:t>atırım stratejisi</w:t>
      </w:r>
      <w:r>
        <w:rPr>
          <w:rFonts w:ascii="Times New Roman" w:hAnsi="Times New Roman" w:cs="Times New Roman"/>
          <w:sz w:val="24"/>
          <w:szCs w:val="24"/>
        </w:rPr>
        <w:t>nin önemli ölçüde ka</w:t>
      </w:r>
      <w:r w:rsidRPr="002B688C">
        <w:rPr>
          <w:rFonts w:ascii="Times New Roman" w:hAnsi="Times New Roman" w:cs="Times New Roman"/>
          <w:sz w:val="24"/>
          <w:szCs w:val="24"/>
        </w:rPr>
        <w:t xml:space="preserve">rmaşık yatırım </w:t>
      </w:r>
      <w:r>
        <w:rPr>
          <w:rFonts w:ascii="Times New Roman" w:hAnsi="Times New Roman" w:cs="Times New Roman"/>
          <w:sz w:val="24"/>
          <w:szCs w:val="24"/>
        </w:rPr>
        <w:t>tekniklerinin kullanımına dayalı olması.</w:t>
      </w:r>
    </w:p>
    <w:p w:rsidR="002D6087" w:rsidRDefault="002D6087" w:rsidP="0006161B">
      <w:pPr>
        <w:pStyle w:val="ListParagraph"/>
        <w:numPr>
          <w:ilvl w:val="0"/>
          <w:numId w:val="37"/>
        </w:numPr>
        <w:ind w:left="1701"/>
        <w:jc w:val="both"/>
        <w:rPr>
          <w:rFonts w:ascii="Times New Roman" w:hAnsi="Times New Roman" w:cs="Times New Roman"/>
          <w:sz w:val="24"/>
          <w:szCs w:val="24"/>
        </w:rPr>
      </w:pPr>
      <w:r w:rsidRPr="005154C8">
        <w:rPr>
          <w:rFonts w:ascii="Times New Roman" w:hAnsi="Times New Roman" w:cs="Times New Roman"/>
          <w:sz w:val="24"/>
          <w:szCs w:val="24"/>
        </w:rPr>
        <w:t xml:space="preserve">Egzotik </w:t>
      </w:r>
      <w:r>
        <w:rPr>
          <w:rFonts w:ascii="Times New Roman" w:hAnsi="Times New Roman" w:cs="Times New Roman"/>
          <w:sz w:val="24"/>
          <w:szCs w:val="24"/>
        </w:rPr>
        <w:t xml:space="preserve">yapıdaki </w:t>
      </w:r>
      <w:r w:rsidRPr="005154C8">
        <w:rPr>
          <w:rFonts w:ascii="Times New Roman" w:hAnsi="Times New Roman" w:cs="Times New Roman"/>
          <w:sz w:val="24"/>
          <w:szCs w:val="24"/>
        </w:rPr>
        <w:t>türev araçlardan kaynaklanan riskin dikkate değer bir düzeyde olması.</w:t>
      </w:r>
    </w:p>
    <w:p w:rsidR="002D6087" w:rsidRDefault="002D6087" w:rsidP="0006161B">
      <w:pPr>
        <w:pStyle w:val="ListParagraph"/>
        <w:numPr>
          <w:ilvl w:val="0"/>
          <w:numId w:val="37"/>
        </w:numPr>
        <w:ind w:left="1701"/>
        <w:jc w:val="both"/>
        <w:rPr>
          <w:rFonts w:ascii="Times New Roman" w:hAnsi="Times New Roman" w:cs="Times New Roman"/>
          <w:sz w:val="24"/>
          <w:szCs w:val="24"/>
        </w:rPr>
      </w:pPr>
      <w:r w:rsidRPr="005154C8">
        <w:rPr>
          <w:rFonts w:ascii="Times New Roman" w:hAnsi="Times New Roman" w:cs="Times New Roman"/>
          <w:sz w:val="24"/>
          <w:szCs w:val="24"/>
        </w:rPr>
        <w:t>Standart yöntemin maruz kalınan risk</w:t>
      </w:r>
      <w:r w:rsidR="00D235E7">
        <w:rPr>
          <w:rFonts w:ascii="Times New Roman" w:hAnsi="Times New Roman" w:cs="Times New Roman"/>
          <w:sz w:val="24"/>
          <w:szCs w:val="24"/>
        </w:rPr>
        <w:t>leri</w:t>
      </w:r>
      <w:r w:rsidRPr="005154C8">
        <w:rPr>
          <w:rFonts w:ascii="Times New Roman" w:hAnsi="Times New Roman" w:cs="Times New Roman"/>
          <w:sz w:val="24"/>
          <w:szCs w:val="24"/>
        </w:rPr>
        <w:t xml:space="preserve"> ölçme</w:t>
      </w:r>
      <w:r w:rsidR="00D235E7">
        <w:rPr>
          <w:rFonts w:ascii="Times New Roman" w:hAnsi="Times New Roman" w:cs="Times New Roman"/>
          <w:sz w:val="24"/>
          <w:szCs w:val="24"/>
        </w:rPr>
        <w:t>kte</w:t>
      </w:r>
      <w:r w:rsidRPr="005154C8">
        <w:rPr>
          <w:rFonts w:ascii="Times New Roman" w:hAnsi="Times New Roman" w:cs="Times New Roman"/>
          <w:sz w:val="24"/>
          <w:szCs w:val="24"/>
        </w:rPr>
        <w:t xml:space="preserve"> yetersiz kalması.</w:t>
      </w:r>
    </w:p>
    <w:p w:rsidR="002D6087" w:rsidRDefault="002D6087" w:rsidP="002D6087">
      <w:pPr>
        <w:pStyle w:val="ListParagraph"/>
        <w:ind w:left="2136"/>
        <w:jc w:val="both"/>
        <w:rPr>
          <w:rFonts w:ascii="Times New Roman" w:hAnsi="Times New Roman" w:cs="Times New Roman"/>
          <w:sz w:val="24"/>
          <w:szCs w:val="24"/>
        </w:rPr>
      </w:pPr>
    </w:p>
    <w:p w:rsidR="002D6087" w:rsidRDefault="002D6087" w:rsidP="0006161B">
      <w:pPr>
        <w:pStyle w:val="ListParagraph"/>
        <w:numPr>
          <w:ilvl w:val="0"/>
          <w:numId w:val="1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Fon </w:t>
      </w:r>
      <w:r w:rsidRPr="005E5A5B">
        <w:rPr>
          <w:rFonts w:ascii="Times New Roman" w:hAnsi="Times New Roman" w:cs="Times New Roman"/>
          <w:sz w:val="24"/>
          <w:szCs w:val="24"/>
        </w:rPr>
        <w:t>yatırım stratejisinin içerdiği risk seviyesi ile fon portföyüne dahil edilecek finansal araçların türü ve k</w:t>
      </w:r>
      <w:r>
        <w:rPr>
          <w:rFonts w:ascii="Times New Roman" w:hAnsi="Times New Roman" w:cs="Times New Roman"/>
          <w:sz w:val="24"/>
          <w:szCs w:val="24"/>
        </w:rPr>
        <w:t xml:space="preserve">armaşıklığı dikkate alınarak (a) ve (b) bendinde belirlenen yöntemler arasından bir seçim </w:t>
      </w:r>
      <w:r w:rsidRPr="00880274">
        <w:rPr>
          <w:rFonts w:ascii="Times New Roman" w:hAnsi="Times New Roman" w:cs="Times New Roman"/>
          <w:sz w:val="24"/>
          <w:szCs w:val="24"/>
        </w:rPr>
        <w:t>yapılmasından Kurucu sorumludur. Bu kapsamda, kullanılacak yöntemin Kurucu yönetim kurulu kararı ile belirlenmesi ve anılan kararda yöntemin seçilme gerekçelerine yer verilmesi zorunludur</w:t>
      </w:r>
      <w:r w:rsidR="004B7921">
        <w:rPr>
          <w:rStyle w:val="FootnoteReference"/>
          <w:rFonts w:ascii="Times New Roman" w:hAnsi="Times New Roman" w:cs="Times New Roman"/>
          <w:sz w:val="24"/>
          <w:szCs w:val="24"/>
        </w:rPr>
        <w:footnoteReference w:id="11"/>
      </w:r>
      <w:r>
        <w:rPr>
          <w:rFonts w:ascii="Times New Roman" w:hAnsi="Times New Roman" w:cs="Times New Roman"/>
          <w:sz w:val="24"/>
          <w:szCs w:val="24"/>
        </w:rPr>
        <w:t>.</w:t>
      </w:r>
    </w:p>
    <w:p w:rsidR="008C0BEF" w:rsidRPr="00880274" w:rsidRDefault="008C0BEF" w:rsidP="0006161B">
      <w:pPr>
        <w:pStyle w:val="ListParagraph"/>
        <w:numPr>
          <w:ilvl w:val="0"/>
          <w:numId w:val="19"/>
        </w:numPr>
        <w:autoSpaceDE w:val="0"/>
        <w:autoSpaceDN w:val="0"/>
        <w:adjustRightInd w:val="0"/>
        <w:spacing w:after="0" w:line="240" w:lineRule="auto"/>
        <w:jc w:val="both"/>
        <w:rPr>
          <w:rFonts w:ascii="Times New Roman" w:hAnsi="Times New Roman" w:cs="Times New Roman"/>
          <w:sz w:val="24"/>
          <w:szCs w:val="24"/>
        </w:rPr>
      </w:pPr>
      <w:r w:rsidRPr="00880274">
        <w:rPr>
          <w:rFonts w:ascii="Times New Roman" w:hAnsi="Times New Roman" w:cs="Times New Roman"/>
          <w:sz w:val="24"/>
          <w:szCs w:val="24"/>
        </w:rPr>
        <w:t>Kurucu yönetim kurulu tarafından</w:t>
      </w:r>
      <w:r w:rsidR="008B1F15" w:rsidRPr="00880274">
        <w:rPr>
          <w:rFonts w:ascii="Times New Roman" w:hAnsi="Times New Roman" w:cs="Times New Roman"/>
          <w:sz w:val="24"/>
          <w:szCs w:val="24"/>
        </w:rPr>
        <w:t>,</w:t>
      </w:r>
      <w:r w:rsidRPr="00880274">
        <w:rPr>
          <w:rFonts w:ascii="Times New Roman" w:hAnsi="Times New Roman" w:cs="Times New Roman"/>
          <w:sz w:val="24"/>
          <w:szCs w:val="24"/>
        </w:rPr>
        <w:t xml:space="preserve"> (b) bendinde yer alan şartların oluşup oluşmadığına bakılmaksızın risk ölçümünde RMD yönteminin kullanılmasına karar verilmesi mümkündür. </w:t>
      </w:r>
    </w:p>
    <w:p w:rsidR="002D6087" w:rsidRDefault="003C0A07" w:rsidP="0006161B">
      <w:pPr>
        <w:pStyle w:val="ListParagraph"/>
        <w:numPr>
          <w:ilvl w:val="0"/>
          <w:numId w:val="1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2D6087">
        <w:rPr>
          <w:rFonts w:ascii="Times New Roman" w:hAnsi="Times New Roman" w:cs="Times New Roman"/>
          <w:sz w:val="24"/>
          <w:szCs w:val="24"/>
        </w:rPr>
        <w:t>çık pozisyon</w:t>
      </w:r>
      <w:r w:rsidR="002D6087" w:rsidRPr="00106ADD">
        <w:rPr>
          <w:rFonts w:ascii="Times New Roman" w:hAnsi="Times New Roman" w:cs="Times New Roman"/>
          <w:sz w:val="24"/>
          <w:szCs w:val="24"/>
        </w:rPr>
        <w:t xml:space="preserve"> limitler</w:t>
      </w:r>
      <w:r w:rsidR="002D6087">
        <w:rPr>
          <w:rFonts w:ascii="Times New Roman" w:hAnsi="Times New Roman" w:cs="Times New Roman"/>
          <w:sz w:val="24"/>
          <w:szCs w:val="24"/>
        </w:rPr>
        <w:t>in</w:t>
      </w:r>
      <w:r w:rsidR="002D6087" w:rsidRPr="00106ADD">
        <w:rPr>
          <w:rFonts w:ascii="Times New Roman" w:hAnsi="Times New Roman" w:cs="Times New Roman"/>
          <w:sz w:val="24"/>
          <w:szCs w:val="24"/>
        </w:rPr>
        <w:t>e ilişkin</w:t>
      </w:r>
      <w:r w:rsidR="002D6087">
        <w:rPr>
          <w:rFonts w:ascii="Times New Roman" w:hAnsi="Times New Roman" w:cs="Times New Roman"/>
          <w:sz w:val="24"/>
          <w:szCs w:val="24"/>
        </w:rPr>
        <w:t xml:space="preserve"> gerekli kontrollerin </w:t>
      </w:r>
      <w:r w:rsidR="002D6087" w:rsidRPr="00106ADD">
        <w:rPr>
          <w:rFonts w:ascii="Times New Roman" w:hAnsi="Times New Roman" w:cs="Times New Roman"/>
          <w:sz w:val="24"/>
          <w:szCs w:val="24"/>
        </w:rPr>
        <w:t xml:space="preserve">günlük olarak yapılması </w:t>
      </w:r>
      <w:r w:rsidR="002D6087">
        <w:rPr>
          <w:rFonts w:ascii="Times New Roman" w:hAnsi="Times New Roman" w:cs="Times New Roman"/>
          <w:sz w:val="24"/>
          <w:szCs w:val="24"/>
        </w:rPr>
        <w:t>zorunludur.</w:t>
      </w:r>
    </w:p>
    <w:p w:rsidR="002D6087" w:rsidRDefault="002D6087" w:rsidP="0006161B">
      <w:pPr>
        <w:pStyle w:val="ListParagraph"/>
        <w:numPr>
          <w:ilvl w:val="0"/>
          <w:numId w:val="1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Pr="00BD2ED0">
        <w:rPr>
          <w:rFonts w:ascii="Times New Roman" w:hAnsi="Times New Roman" w:cs="Times New Roman"/>
          <w:sz w:val="24"/>
          <w:szCs w:val="24"/>
        </w:rPr>
        <w:t xml:space="preserve">isk yönetim sistemi </w:t>
      </w:r>
      <w:r>
        <w:rPr>
          <w:rFonts w:ascii="Times New Roman" w:hAnsi="Times New Roman" w:cs="Times New Roman"/>
          <w:sz w:val="24"/>
          <w:szCs w:val="24"/>
        </w:rPr>
        <w:t>kapsamında fonun maruz kalabileceği</w:t>
      </w:r>
      <w:r w:rsidRPr="00BD2ED0">
        <w:rPr>
          <w:rFonts w:ascii="Times New Roman" w:hAnsi="Times New Roman" w:cs="Times New Roman"/>
          <w:sz w:val="24"/>
          <w:szCs w:val="24"/>
        </w:rPr>
        <w:t xml:space="preserve"> diğer risk</w:t>
      </w:r>
      <w:r>
        <w:rPr>
          <w:rFonts w:ascii="Times New Roman" w:hAnsi="Times New Roman" w:cs="Times New Roman"/>
          <w:sz w:val="24"/>
          <w:szCs w:val="24"/>
        </w:rPr>
        <w:t>lerin ölçümüne</w:t>
      </w:r>
      <w:r w:rsidRPr="00BD2ED0">
        <w:rPr>
          <w:rFonts w:ascii="Times New Roman" w:hAnsi="Times New Roman" w:cs="Times New Roman"/>
          <w:sz w:val="24"/>
          <w:szCs w:val="24"/>
        </w:rPr>
        <w:t xml:space="preserve"> ve </w:t>
      </w:r>
      <w:r>
        <w:rPr>
          <w:rFonts w:ascii="Times New Roman" w:hAnsi="Times New Roman" w:cs="Times New Roman"/>
          <w:sz w:val="24"/>
          <w:szCs w:val="24"/>
        </w:rPr>
        <w:t xml:space="preserve">kontrolüne </w:t>
      </w:r>
      <w:r w:rsidRPr="00880274">
        <w:rPr>
          <w:rFonts w:ascii="Times New Roman" w:hAnsi="Times New Roman" w:cs="Times New Roman"/>
          <w:sz w:val="24"/>
          <w:szCs w:val="24"/>
        </w:rPr>
        <w:t>ilişkin Kurucu’nun görev</w:t>
      </w:r>
      <w:r>
        <w:rPr>
          <w:rFonts w:ascii="Times New Roman" w:hAnsi="Times New Roman" w:cs="Times New Roman"/>
          <w:sz w:val="24"/>
          <w:szCs w:val="24"/>
        </w:rPr>
        <w:t xml:space="preserve"> ve sorumlulukları saklıdır.</w:t>
      </w:r>
    </w:p>
    <w:p w:rsidR="002D6087" w:rsidRPr="00D57414" w:rsidRDefault="002D6087" w:rsidP="002D6087">
      <w:pPr>
        <w:autoSpaceDE w:val="0"/>
        <w:autoSpaceDN w:val="0"/>
        <w:adjustRightInd w:val="0"/>
        <w:spacing w:after="0" w:line="240" w:lineRule="auto"/>
        <w:jc w:val="both"/>
        <w:rPr>
          <w:rFonts w:ascii="Times New Roman" w:hAnsi="Times New Roman" w:cs="Times New Roman"/>
          <w:sz w:val="24"/>
          <w:szCs w:val="24"/>
        </w:rPr>
      </w:pPr>
    </w:p>
    <w:p w:rsidR="002D6087" w:rsidRDefault="002D6087" w:rsidP="00F47904">
      <w:pPr>
        <w:pStyle w:val="Heading3"/>
        <w:rPr>
          <w:rFonts w:cs="Times New Roman"/>
          <w:i/>
        </w:rPr>
      </w:pPr>
      <w:bookmarkStart w:id="232" w:name="_Toc130312598"/>
      <w:bookmarkStart w:id="233" w:name="_Toc130312731"/>
      <w:r w:rsidRPr="00D57414">
        <w:t>7.</w:t>
      </w:r>
      <w:r>
        <w:t>5.1</w:t>
      </w:r>
      <w:r w:rsidRPr="00D57414">
        <w:t xml:space="preserve">. Standart Yöntem </w:t>
      </w:r>
      <w:r w:rsidRPr="00D57414">
        <w:rPr>
          <w:rFonts w:cs="Times New Roman"/>
        </w:rPr>
        <w:t>(</w:t>
      </w:r>
      <w:r w:rsidR="00E23D79">
        <w:rPr>
          <w:rFonts w:cs="Times New Roman"/>
        </w:rPr>
        <w:t>C</w:t>
      </w:r>
      <w:r w:rsidRPr="00D57414">
        <w:rPr>
          <w:rFonts w:cs="Times New Roman"/>
        </w:rPr>
        <w:t>ommitment</w:t>
      </w:r>
      <w:r w:rsidR="00FB2B3C">
        <w:rPr>
          <w:rFonts w:cs="Times New Roman"/>
        </w:rPr>
        <w:t xml:space="preserve"> </w:t>
      </w:r>
      <w:r w:rsidR="00E23D79">
        <w:rPr>
          <w:rFonts w:cs="Times New Roman"/>
        </w:rPr>
        <w:t>A</w:t>
      </w:r>
      <w:r w:rsidRPr="00D57414">
        <w:rPr>
          <w:rFonts w:cs="Times New Roman"/>
        </w:rPr>
        <w:t>pproach)</w:t>
      </w:r>
      <w:bookmarkEnd w:id="232"/>
      <w:bookmarkEnd w:id="233"/>
    </w:p>
    <w:p w:rsidR="00713D27" w:rsidRDefault="00713D27" w:rsidP="00713D27">
      <w:pPr>
        <w:pStyle w:val="ListParagraph"/>
        <w:tabs>
          <w:tab w:val="left" w:pos="284"/>
        </w:tabs>
        <w:jc w:val="both"/>
        <w:rPr>
          <w:rFonts w:ascii="Times New Roman" w:hAnsi="Times New Roman" w:cs="Times New Roman"/>
          <w:sz w:val="24"/>
          <w:szCs w:val="24"/>
        </w:rPr>
      </w:pPr>
    </w:p>
    <w:p w:rsidR="002D6087" w:rsidRPr="00B57EF2" w:rsidRDefault="002D6087" w:rsidP="0006161B">
      <w:pPr>
        <w:pStyle w:val="ListParagraph"/>
        <w:numPr>
          <w:ilvl w:val="0"/>
          <w:numId w:val="38"/>
        </w:numPr>
        <w:tabs>
          <w:tab w:val="left" w:pos="284"/>
        </w:tabs>
        <w:jc w:val="both"/>
        <w:rPr>
          <w:rFonts w:ascii="Times New Roman" w:hAnsi="Times New Roman" w:cs="Times New Roman"/>
          <w:sz w:val="24"/>
          <w:szCs w:val="24"/>
        </w:rPr>
      </w:pPr>
      <w:r>
        <w:rPr>
          <w:rFonts w:ascii="Times New Roman" w:hAnsi="Times New Roman" w:cs="Times New Roman"/>
          <w:sz w:val="24"/>
          <w:szCs w:val="24"/>
        </w:rPr>
        <w:t>Standart yöntemin kullanılması halinde açık pozisyon a</w:t>
      </w:r>
      <w:r w:rsidRPr="00B57EF2">
        <w:rPr>
          <w:rFonts w:ascii="Times New Roman" w:hAnsi="Times New Roman" w:cs="Times New Roman"/>
          <w:sz w:val="24"/>
          <w:szCs w:val="24"/>
        </w:rPr>
        <w:t>şağıdaki şekilde hesaplanır:</w:t>
      </w:r>
    </w:p>
    <w:p w:rsidR="002D6087" w:rsidRPr="00B57EF2" w:rsidRDefault="002D6087" w:rsidP="0006161B">
      <w:pPr>
        <w:pStyle w:val="ListParagraph"/>
        <w:numPr>
          <w:ilvl w:val="0"/>
          <w:numId w:val="13"/>
        </w:numPr>
        <w:tabs>
          <w:tab w:val="left" w:pos="284"/>
        </w:tabs>
        <w:ind w:left="1418" w:hanging="284"/>
        <w:jc w:val="both"/>
        <w:rPr>
          <w:rFonts w:ascii="Times New Roman" w:hAnsi="Times New Roman" w:cs="Times New Roman"/>
          <w:b/>
          <w:sz w:val="24"/>
          <w:szCs w:val="24"/>
        </w:rPr>
      </w:pPr>
      <w:r>
        <w:rPr>
          <w:rFonts w:ascii="Times New Roman" w:hAnsi="Times New Roman" w:cs="Times New Roman"/>
          <w:sz w:val="24"/>
          <w:szCs w:val="24"/>
        </w:rPr>
        <w:t>Kaldıraç yaratan işlemler</w:t>
      </w:r>
      <w:r w:rsidR="00A45D75">
        <w:rPr>
          <w:rFonts w:ascii="Times New Roman" w:hAnsi="Times New Roman" w:cs="Times New Roman"/>
          <w:sz w:val="24"/>
          <w:szCs w:val="24"/>
        </w:rPr>
        <w:t xml:space="preserve">e </w:t>
      </w:r>
      <w:r w:rsidRPr="00B57EF2">
        <w:rPr>
          <w:rFonts w:ascii="Times New Roman" w:hAnsi="Times New Roman" w:cs="Times New Roman"/>
          <w:sz w:val="24"/>
          <w:szCs w:val="24"/>
        </w:rPr>
        <w:t>ilişkin olarak araç bazında ayrı ayrı pozisyon hesaplaması yapılır.</w:t>
      </w:r>
    </w:p>
    <w:p w:rsidR="002D6087" w:rsidRPr="00B57EF2" w:rsidRDefault="002D6087" w:rsidP="0006161B">
      <w:pPr>
        <w:pStyle w:val="ListParagraph"/>
        <w:numPr>
          <w:ilvl w:val="0"/>
          <w:numId w:val="13"/>
        </w:numPr>
        <w:tabs>
          <w:tab w:val="left" w:pos="284"/>
        </w:tabs>
        <w:ind w:left="1418" w:hanging="284"/>
        <w:jc w:val="both"/>
        <w:rPr>
          <w:rFonts w:ascii="Times New Roman" w:hAnsi="Times New Roman" w:cs="Times New Roman"/>
          <w:sz w:val="24"/>
          <w:szCs w:val="24"/>
        </w:rPr>
      </w:pPr>
      <w:r>
        <w:rPr>
          <w:rFonts w:ascii="Times New Roman" w:hAnsi="Times New Roman" w:cs="Times New Roman"/>
          <w:sz w:val="24"/>
          <w:szCs w:val="24"/>
        </w:rPr>
        <w:t xml:space="preserve">Bu Rehber’in (7.5.3.) ve (7.5.4.) nolu bölümlerinde belirtilen </w:t>
      </w:r>
      <w:r w:rsidR="00AF04C0">
        <w:rPr>
          <w:rFonts w:ascii="Times New Roman" w:hAnsi="Times New Roman" w:cs="Times New Roman"/>
          <w:sz w:val="24"/>
          <w:szCs w:val="24"/>
        </w:rPr>
        <w:t>n</w:t>
      </w:r>
      <w:r w:rsidRPr="00B57EF2">
        <w:rPr>
          <w:rFonts w:ascii="Times New Roman" w:hAnsi="Times New Roman" w:cs="Times New Roman"/>
          <w:sz w:val="24"/>
          <w:szCs w:val="24"/>
        </w:rPr>
        <w:t>etleştirme</w:t>
      </w:r>
      <w:r w:rsidR="00880274">
        <w:rPr>
          <w:rFonts w:ascii="Times New Roman" w:hAnsi="Times New Roman" w:cs="Times New Roman"/>
          <w:sz w:val="24"/>
          <w:szCs w:val="24"/>
        </w:rPr>
        <w:t xml:space="preserve"> </w:t>
      </w:r>
      <w:r w:rsidRPr="00B57EF2">
        <w:rPr>
          <w:rFonts w:ascii="Times New Roman" w:hAnsi="Times New Roman" w:cs="Times New Roman"/>
          <w:sz w:val="24"/>
          <w:szCs w:val="24"/>
        </w:rPr>
        <w:t>(netting)</w:t>
      </w:r>
      <w:r>
        <w:rPr>
          <w:rFonts w:ascii="Times New Roman" w:hAnsi="Times New Roman" w:cs="Times New Roman"/>
          <w:sz w:val="24"/>
          <w:szCs w:val="24"/>
        </w:rPr>
        <w:t xml:space="preserve"> ve </w:t>
      </w:r>
      <w:r w:rsidRPr="00B57EF2">
        <w:rPr>
          <w:rFonts w:ascii="Times New Roman" w:hAnsi="Times New Roman" w:cs="Times New Roman"/>
          <w:sz w:val="24"/>
          <w:szCs w:val="24"/>
        </w:rPr>
        <w:t xml:space="preserve">riskten korunma (hedging) </w:t>
      </w:r>
      <w:r>
        <w:rPr>
          <w:rFonts w:ascii="Times New Roman" w:hAnsi="Times New Roman" w:cs="Times New Roman"/>
          <w:sz w:val="24"/>
          <w:szCs w:val="24"/>
        </w:rPr>
        <w:t xml:space="preserve">esasları çerçevesinde bu araçların </w:t>
      </w:r>
      <w:r w:rsidRPr="00B57EF2">
        <w:rPr>
          <w:rFonts w:ascii="Times New Roman" w:hAnsi="Times New Roman" w:cs="Times New Roman"/>
          <w:sz w:val="24"/>
          <w:szCs w:val="24"/>
        </w:rPr>
        <w:t>net pozisyon</w:t>
      </w:r>
      <w:r>
        <w:rPr>
          <w:rFonts w:ascii="Times New Roman" w:hAnsi="Times New Roman" w:cs="Times New Roman"/>
          <w:sz w:val="24"/>
          <w:szCs w:val="24"/>
        </w:rPr>
        <w:t>u</w:t>
      </w:r>
      <w:r w:rsidRPr="00B57EF2">
        <w:rPr>
          <w:rFonts w:ascii="Times New Roman" w:hAnsi="Times New Roman" w:cs="Times New Roman"/>
          <w:sz w:val="24"/>
          <w:szCs w:val="24"/>
        </w:rPr>
        <w:t xml:space="preserve"> hesaplan</w:t>
      </w:r>
      <w:r>
        <w:rPr>
          <w:rFonts w:ascii="Times New Roman" w:hAnsi="Times New Roman" w:cs="Times New Roman"/>
          <w:sz w:val="24"/>
          <w:szCs w:val="24"/>
        </w:rPr>
        <w:t>arak</w:t>
      </w:r>
      <w:r w:rsidRPr="00B57EF2">
        <w:rPr>
          <w:rFonts w:ascii="Times New Roman" w:hAnsi="Times New Roman" w:cs="Times New Roman"/>
          <w:sz w:val="24"/>
          <w:szCs w:val="24"/>
        </w:rPr>
        <w:t xml:space="preserve"> pozisyon</w:t>
      </w:r>
      <w:r>
        <w:rPr>
          <w:rFonts w:ascii="Times New Roman" w:hAnsi="Times New Roman" w:cs="Times New Roman"/>
          <w:sz w:val="24"/>
          <w:szCs w:val="24"/>
        </w:rPr>
        <w:t>ları</w:t>
      </w:r>
      <w:r w:rsidRPr="00B57EF2">
        <w:rPr>
          <w:rFonts w:ascii="Times New Roman" w:hAnsi="Times New Roman" w:cs="Times New Roman"/>
          <w:sz w:val="24"/>
          <w:szCs w:val="24"/>
        </w:rPr>
        <w:t xml:space="preserve">n mutlak değeri alınır. </w:t>
      </w:r>
    </w:p>
    <w:p w:rsidR="002D6087" w:rsidRDefault="00FB2B3C" w:rsidP="0006161B">
      <w:pPr>
        <w:pStyle w:val="ListParagraph"/>
        <w:numPr>
          <w:ilvl w:val="0"/>
          <w:numId w:val="13"/>
        </w:numPr>
        <w:tabs>
          <w:tab w:val="left" w:pos="284"/>
        </w:tabs>
        <w:ind w:left="1418"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2D6087" w:rsidRPr="00B57EF2">
        <w:rPr>
          <w:rFonts w:ascii="Times New Roman" w:hAnsi="Times New Roman" w:cs="Times New Roman"/>
          <w:sz w:val="24"/>
          <w:szCs w:val="24"/>
        </w:rPr>
        <w:t xml:space="preserve">Netleştirme ve </w:t>
      </w:r>
      <w:r w:rsidR="002D6087">
        <w:rPr>
          <w:rFonts w:ascii="Times New Roman" w:hAnsi="Times New Roman" w:cs="Times New Roman"/>
          <w:sz w:val="24"/>
          <w:szCs w:val="24"/>
        </w:rPr>
        <w:t xml:space="preserve">riskten </w:t>
      </w:r>
      <w:r w:rsidR="002D6087" w:rsidRPr="00B57EF2">
        <w:rPr>
          <w:rFonts w:ascii="Times New Roman" w:hAnsi="Times New Roman" w:cs="Times New Roman"/>
          <w:sz w:val="24"/>
          <w:szCs w:val="24"/>
        </w:rPr>
        <w:t>koru</w:t>
      </w:r>
      <w:r w:rsidR="002D6087">
        <w:rPr>
          <w:rFonts w:ascii="Times New Roman" w:hAnsi="Times New Roman" w:cs="Times New Roman"/>
          <w:sz w:val="24"/>
          <w:szCs w:val="24"/>
        </w:rPr>
        <w:t>n</w:t>
      </w:r>
      <w:r w:rsidR="002D6087" w:rsidRPr="00B57EF2">
        <w:rPr>
          <w:rFonts w:ascii="Times New Roman" w:hAnsi="Times New Roman" w:cs="Times New Roman"/>
          <w:sz w:val="24"/>
          <w:szCs w:val="24"/>
        </w:rPr>
        <w:t xml:space="preserve">maya konu </w:t>
      </w:r>
      <w:r w:rsidR="002D6087">
        <w:rPr>
          <w:rFonts w:ascii="Times New Roman" w:hAnsi="Times New Roman" w:cs="Times New Roman"/>
          <w:sz w:val="24"/>
          <w:szCs w:val="24"/>
        </w:rPr>
        <w:t>edilemeyen</w:t>
      </w:r>
      <w:r w:rsidR="002D6087" w:rsidRPr="00B57EF2">
        <w:rPr>
          <w:rFonts w:ascii="Times New Roman" w:hAnsi="Times New Roman" w:cs="Times New Roman"/>
          <w:sz w:val="24"/>
          <w:szCs w:val="24"/>
        </w:rPr>
        <w:t xml:space="preserve"> araçlara ilişkin pozisyonlar</w:t>
      </w:r>
      <w:r w:rsidR="002D6087">
        <w:rPr>
          <w:rFonts w:ascii="Times New Roman" w:hAnsi="Times New Roman" w:cs="Times New Roman"/>
          <w:sz w:val="24"/>
          <w:szCs w:val="24"/>
        </w:rPr>
        <w:t xml:space="preserve"> hesaplanarak</w:t>
      </w:r>
      <w:r w:rsidR="00880274">
        <w:rPr>
          <w:rFonts w:ascii="Times New Roman" w:hAnsi="Times New Roman" w:cs="Times New Roman"/>
          <w:sz w:val="24"/>
          <w:szCs w:val="24"/>
        </w:rPr>
        <w:t xml:space="preserve"> </w:t>
      </w:r>
      <w:r w:rsidR="002D6087">
        <w:rPr>
          <w:rFonts w:ascii="Times New Roman" w:hAnsi="Times New Roman" w:cs="Times New Roman"/>
          <w:sz w:val="24"/>
          <w:szCs w:val="24"/>
        </w:rPr>
        <w:t xml:space="preserve">bunların </w:t>
      </w:r>
      <w:r w:rsidR="002D6087" w:rsidRPr="00B57EF2">
        <w:rPr>
          <w:rFonts w:ascii="Times New Roman" w:hAnsi="Times New Roman" w:cs="Times New Roman"/>
          <w:sz w:val="24"/>
          <w:szCs w:val="24"/>
        </w:rPr>
        <w:t xml:space="preserve">mutlak değeri </w:t>
      </w:r>
      <w:r w:rsidR="002D6087">
        <w:rPr>
          <w:rFonts w:ascii="Times New Roman" w:hAnsi="Times New Roman" w:cs="Times New Roman"/>
          <w:sz w:val="24"/>
          <w:szCs w:val="24"/>
        </w:rPr>
        <w:t>alı</w:t>
      </w:r>
      <w:r w:rsidR="002D6087" w:rsidRPr="00B57EF2">
        <w:rPr>
          <w:rFonts w:ascii="Times New Roman" w:hAnsi="Times New Roman" w:cs="Times New Roman"/>
          <w:sz w:val="24"/>
          <w:szCs w:val="24"/>
        </w:rPr>
        <w:t xml:space="preserve">nır. </w:t>
      </w:r>
    </w:p>
    <w:p w:rsidR="002D6087" w:rsidRPr="00B57EF2" w:rsidRDefault="002D6087" w:rsidP="0006161B">
      <w:pPr>
        <w:pStyle w:val="ListParagraph"/>
        <w:numPr>
          <w:ilvl w:val="0"/>
          <w:numId w:val="13"/>
        </w:numPr>
        <w:tabs>
          <w:tab w:val="left" w:pos="284"/>
        </w:tabs>
        <w:ind w:left="1418" w:hanging="284"/>
        <w:jc w:val="both"/>
        <w:rPr>
          <w:rFonts w:ascii="Times New Roman" w:hAnsi="Times New Roman" w:cs="Times New Roman"/>
          <w:sz w:val="24"/>
          <w:szCs w:val="24"/>
        </w:rPr>
      </w:pPr>
      <w:r>
        <w:rPr>
          <w:rFonts w:ascii="Times New Roman" w:hAnsi="Times New Roman" w:cs="Times New Roman"/>
          <w:sz w:val="24"/>
          <w:szCs w:val="24"/>
        </w:rPr>
        <w:t xml:space="preserve"> (ii) ve (iii</w:t>
      </w:r>
      <w:r w:rsidRPr="00B57EF2">
        <w:rPr>
          <w:rFonts w:ascii="Times New Roman" w:hAnsi="Times New Roman" w:cs="Times New Roman"/>
          <w:sz w:val="24"/>
          <w:szCs w:val="24"/>
        </w:rPr>
        <w:t>)  nolu bentlerde ulaşılan pozisyon tutarları</w:t>
      </w:r>
      <w:r>
        <w:rPr>
          <w:rFonts w:ascii="Times New Roman" w:hAnsi="Times New Roman" w:cs="Times New Roman"/>
          <w:sz w:val="24"/>
          <w:szCs w:val="24"/>
        </w:rPr>
        <w:t>nın</w:t>
      </w:r>
      <w:r w:rsidRPr="00B57EF2">
        <w:rPr>
          <w:rFonts w:ascii="Times New Roman" w:hAnsi="Times New Roman" w:cs="Times New Roman"/>
          <w:sz w:val="24"/>
          <w:szCs w:val="24"/>
        </w:rPr>
        <w:t xml:space="preserve"> toplan</w:t>
      </w:r>
      <w:r>
        <w:rPr>
          <w:rFonts w:ascii="Times New Roman" w:hAnsi="Times New Roman" w:cs="Times New Roman"/>
          <w:sz w:val="24"/>
          <w:szCs w:val="24"/>
        </w:rPr>
        <w:t>ması suretiyle</w:t>
      </w:r>
      <w:r w:rsidRPr="00B57EF2">
        <w:rPr>
          <w:rFonts w:ascii="Times New Roman" w:hAnsi="Times New Roman" w:cs="Times New Roman"/>
          <w:sz w:val="24"/>
          <w:szCs w:val="24"/>
        </w:rPr>
        <w:t xml:space="preserve"> toplam açık pozisyona ulaşılır</w:t>
      </w:r>
      <w:r>
        <w:rPr>
          <w:rFonts w:ascii="Times New Roman" w:hAnsi="Times New Roman" w:cs="Times New Roman"/>
          <w:sz w:val="24"/>
          <w:szCs w:val="24"/>
        </w:rPr>
        <w:t>.</w:t>
      </w:r>
    </w:p>
    <w:p w:rsidR="002D6087" w:rsidRDefault="002D6087" w:rsidP="0006161B">
      <w:pPr>
        <w:pStyle w:val="ListParagraph"/>
        <w:numPr>
          <w:ilvl w:val="0"/>
          <w:numId w:val="38"/>
        </w:num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(a) </w:t>
      </w:r>
      <w:r w:rsidR="00E776F6">
        <w:rPr>
          <w:rFonts w:ascii="Times New Roman" w:hAnsi="Times New Roman" w:cs="Times New Roman"/>
          <w:sz w:val="24"/>
          <w:szCs w:val="24"/>
        </w:rPr>
        <w:t>bendinde</w:t>
      </w:r>
      <w:r w:rsidR="00FB2B3C">
        <w:rPr>
          <w:rFonts w:ascii="Times New Roman" w:hAnsi="Times New Roman" w:cs="Times New Roman"/>
          <w:sz w:val="24"/>
          <w:szCs w:val="24"/>
        </w:rPr>
        <w:t xml:space="preserve"> </w:t>
      </w:r>
      <w:r>
        <w:rPr>
          <w:rFonts w:ascii="Times New Roman" w:hAnsi="Times New Roman" w:cs="Times New Roman"/>
          <w:sz w:val="24"/>
          <w:szCs w:val="24"/>
        </w:rPr>
        <w:t xml:space="preserve">yer alan esaslara göre hesaplanan </w:t>
      </w:r>
      <w:r w:rsidRPr="006A1B34">
        <w:rPr>
          <w:rFonts w:ascii="Times New Roman" w:hAnsi="Times New Roman" w:cs="Times New Roman"/>
          <w:sz w:val="24"/>
          <w:szCs w:val="24"/>
        </w:rPr>
        <w:t>açık pozisyon tutarı fon toplam değerini aşamaz.</w:t>
      </w:r>
    </w:p>
    <w:p w:rsidR="006910F3" w:rsidRDefault="006910F3" w:rsidP="0006161B">
      <w:pPr>
        <w:pStyle w:val="ListParagraph"/>
        <w:numPr>
          <w:ilvl w:val="0"/>
          <w:numId w:val="38"/>
        </w:numPr>
        <w:tabs>
          <w:tab w:val="left" w:pos="284"/>
        </w:tabs>
        <w:jc w:val="both"/>
        <w:rPr>
          <w:rFonts w:ascii="Times New Roman" w:hAnsi="Times New Roman" w:cs="Times New Roman"/>
          <w:sz w:val="24"/>
          <w:szCs w:val="24"/>
        </w:rPr>
      </w:pPr>
      <w:r>
        <w:rPr>
          <w:rFonts w:ascii="Times New Roman" w:hAnsi="Times New Roman" w:cs="Times New Roman"/>
          <w:sz w:val="24"/>
          <w:szCs w:val="24"/>
        </w:rPr>
        <w:t>(a/i) nolu bendinde belirtilen esaslar çerçevesinde hesaplanan pozisyonların mutlak değerlerinin top</w:t>
      </w:r>
      <w:r w:rsidR="00B308CC">
        <w:rPr>
          <w:rFonts w:ascii="Times New Roman" w:hAnsi="Times New Roman" w:cs="Times New Roman"/>
          <w:sz w:val="24"/>
          <w:szCs w:val="24"/>
        </w:rPr>
        <w:t>lanması suretiyle</w:t>
      </w:r>
      <w:r w:rsidR="00D850BB">
        <w:rPr>
          <w:rFonts w:ascii="Times New Roman" w:hAnsi="Times New Roman" w:cs="Times New Roman"/>
          <w:sz w:val="24"/>
          <w:szCs w:val="24"/>
        </w:rPr>
        <w:t xml:space="preserve"> (sum of notionals)</w:t>
      </w:r>
      <w:r w:rsidR="00B308CC">
        <w:rPr>
          <w:rFonts w:ascii="Times New Roman" w:hAnsi="Times New Roman" w:cs="Times New Roman"/>
          <w:sz w:val="24"/>
          <w:szCs w:val="24"/>
        </w:rPr>
        <w:t xml:space="preserve"> ulaşılan </w:t>
      </w:r>
      <w:r>
        <w:rPr>
          <w:rFonts w:ascii="Times New Roman" w:hAnsi="Times New Roman" w:cs="Times New Roman"/>
          <w:sz w:val="24"/>
          <w:szCs w:val="24"/>
        </w:rPr>
        <w:t>toplam pozisyon</w:t>
      </w:r>
      <w:r w:rsidR="00F25584">
        <w:rPr>
          <w:rFonts w:ascii="Times New Roman" w:hAnsi="Times New Roman" w:cs="Times New Roman"/>
          <w:sz w:val="24"/>
          <w:szCs w:val="24"/>
        </w:rPr>
        <w:t>un fon toplam değerine oranın</w:t>
      </w:r>
      <w:r w:rsidR="00B308CC">
        <w:rPr>
          <w:rFonts w:ascii="Times New Roman" w:hAnsi="Times New Roman" w:cs="Times New Roman"/>
          <w:sz w:val="24"/>
          <w:szCs w:val="24"/>
        </w:rPr>
        <w:t>a “</w:t>
      </w:r>
      <w:r w:rsidR="00B308CC" w:rsidRPr="00B308CC">
        <w:rPr>
          <w:rFonts w:ascii="Times New Roman" w:hAnsi="Times New Roman" w:cs="Times New Roman"/>
          <w:b/>
          <w:sz w:val="24"/>
          <w:szCs w:val="24"/>
        </w:rPr>
        <w:t>kaldıraç</w:t>
      </w:r>
      <w:r w:rsidR="00B308CC">
        <w:rPr>
          <w:rFonts w:ascii="Times New Roman" w:hAnsi="Times New Roman" w:cs="Times New Roman"/>
          <w:sz w:val="24"/>
          <w:szCs w:val="24"/>
        </w:rPr>
        <w:t>” denir.</w:t>
      </w:r>
    </w:p>
    <w:p w:rsidR="002D6087" w:rsidRDefault="002D6087" w:rsidP="003C0A07">
      <w:pPr>
        <w:pStyle w:val="Heading3"/>
        <w:spacing w:after="240"/>
      </w:pPr>
      <w:bookmarkStart w:id="234" w:name="_Toc130312599"/>
      <w:bookmarkStart w:id="235" w:name="_Toc130312732"/>
      <w:r>
        <w:t xml:space="preserve">7.5.2. </w:t>
      </w:r>
      <w:r w:rsidRPr="00BD2ED0">
        <w:t>Kaldıraç</w:t>
      </w:r>
      <w:r>
        <w:t xml:space="preserve"> Yaratan</w:t>
      </w:r>
      <w:r w:rsidRPr="00BD2ED0">
        <w:t xml:space="preserve"> İşlemlere İlişkin Pozisyon Hesaplaması</w:t>
      </w:r>
      <w:bookmarkEnd w:id="234"/>
      <w:bookmarkEnd w:id="235"/>
    </w:p>
    <w:p w:rsidR="003C0A07" w:rsidRDefault="002D6087" w:rsidP="00F47904">
      <w:pPr>
        <w:ind w:firstLine="708"/>
        <w:jc w:val="both"/>
        <w:rPr>
          <w:rFonts w:ascii="Times New Roman" w:hAnsi="Times New Roman" w:cs="Times New Roman"/>
          <w:sz w:val="24"/>
          <w:szCs w:val="24"/>
        </w:rPr>
      </w:pPr>
      <w:r>
        <w:rPr>
          <w:rFonts w:ascii="Times New Roman" w:hAnsi="Times New Roman" w:cs="Times New Roman"/>
          <w:sz w:val="24"/>
          <w:szCs w:val="24"/>
        </w:rPr>
        <w:t xml:space="preserve">Kaldıraç yaratan işlemlere ilişkin pozisyon hesaplaması yapılırken dayanak varlığın piyasa fiyatı olarak, Finansal Raporlama Tebliği’nde yer alan esaslar çerçevesinde belirlenen fiyat esas alınır.  </w:t>
      </w:r>
    </w:p>
    <w:p w:rsidR="002D6087" w:rsidRDefault="002D6087" w:rsidP="00F47904">
      <w:pPr>
        <w:ind w:firstLine="708"/>
        <w:jc w:val="both"/>
        <w:rPr>
          <w:rFonts w:ascii="Times New Roman" w:hAnsi="Times New Roman" w:cs="Times New Roman"/>
          <w:sz w:val="24"/>
          <w:szCs w:val="24"/>
        </w:rPr>
      </w:pPr>
      <w:r>
        <w:rPr>
          <w:rFonts w:ascii="Times New Roman" w:hAnsi="Times New Roman" w:cs="Times New Roman"/>
          <w:sz w:val="24"/>
          <w:szCs w:val="24"/>
        </w:rPr>
        <w:t>Örneğin, bo</w:t>
      </w:r>
      <w:r w:rsidRPr="00BF73C7">
        <w:rPr>
          <w:rFonts w:ascii="Times New Roman" w:hAnsi="Times New Roman" w:cs="Times New Roman"/>
          <w:sz w:val="24"/>
          <w:szCs w:val="24"/>
        </w:rPr>
        <w:t>rsada işlem gören</w:t>
      </w:r>
      <w:r>
        <w:rPr>
          <w:rFonts w:ascii="Times New Roman" w:hAnsi="Times New Roman" w:cs="Times New Roman"/>
          <w:sz w:val="24"/>
          <w:szCs w:val="24"/>
        </w:rPr>
        <w:t xml:space="preserve"> dayanak varlıklar için piyasa fiyatı olarak, </w:t>
      </w:r>
      <w:r w:rsidRPr="00BF73C7">
        <w:rPr>
          <w:rFonts w:ascii="Times New Roman" w:hAnsi="Times New Roman" w:cs="Times New Roman"/>
          <w:sz w:val="24"/>
          <w:szCs w:val="24"/>
        </w:rPr>
        <w:t>kapanış seansı uygulaması bulunan piyasalarda kapanış seansında oluşan fiyat</w:t>
      </w:r>
      <w:r>
        <w:rPr>
          <w:rFonts w:ascii="Times New Roman" w:hAnsi="Times New Roman" w:cs="Times New Roman"/>
          <w:sz w:val="24"/>
          <w:szCs w:val="24"/>
        </w:rPr>
        <w:t>, k</w:t>
      </w:r>
      <w:r w:rsidRPr="00BF73C7">
        <w:rPr>
          <w:rFonts w:ascii="Times New Roman" w:hAnsi="Times New Roman" w:cs="Times New Roman"/>
          <w:sz w:val="24"/>
          <w:szCs w:val="24"/>
        </w:rPr>
        <w:t>apanış seansında fiyat oluşmaması durumunda ise borsada oluşan en son seans ağırlıklı ortalama fiyat kullanıl</w:t>
      </w:r>
      <w:r>
        <w:rPr>
          <w:rFonts w:ascii="Times New Roman" w:hAnsi="Times New Roman" w:cs="Times New Roman"/>
          <w:sz w:val="24"/>
          <w:szCs w:val="24"/>
        </w:rPr>
        <w:t xml:space="preserve">ır. </w:t>
      </w:r>
    </w:p>
    <w:p w:rsidR="002D6087" w:rsidRPr="006A1B34" w:rsidRDefault="002D6087" w:rsidP="00F47904">
      <w:pPr>
        <w:ind w:firstLine="708"/>
        <w:jc w:val="both"/>
        <w:rPr>
          <w:rFonts w:ascii="Times New Roman" w:hAnsi="Times New Roman" w:cs="Times New Roman"/>
          <w:sz w:val="24"/>
          <w:szCs w:val="24"/>
        </w:rPr>
      </w:pPr>
      <w:r w:rsidRPr="006A1B34">
        <w:rPr>
          <w:rFonts w:ascii="Times New Roman" w:hAnsi="Times New Roman" w:cs="Times New Roman"/>
          <w:sz w:val="24"/>
          <w:szCs w:val="24"/>
        </w:rPr>
        <w:t>Kaldıraç</w:t>
      </w:r>
      <w:r>
        <w:rPr>
          <w:rFonts w:ascii="Times New Roman" w:hAnsi="Times New Roman" w:cs="Times New Roman"/>
          <w:sz w:val="24"/>
          <w:szCs w:val="24"/>
        </w:rPr>
        <w:t xml:space="preserve"> yaratan </w:t>
      </w:r>
      <w:r w:rsidRPr="006A1B34">
        <w:rPr>
          <w:rFonts w:ascii="Times New Roman" w:hAnsi="Times New Roman" w:cs="Times New Roman"/>
          <w:sz w:val="24"/>
          <w:szCs w:val="24"/>
        </w:rPr>
        <w:t>işlemlere ilişkin pozisyon hesaplama örnekleri aşağıda yer almaktadır.</w:t>
      </w:r>
    </w:p>
    <w:p w:rsidR="002D6087" w:rsidRDefault="002D6087" w:rsidP="002D6087">
      <w:pPr>
        <w:autoSpaceDE w:val="0"/>
        <w:autoSpaceDN w:val="0"/>
        <w:adjustRightInd w:val="0"/>
        <w:spacing w:after="0" w:line="240" w:lineRule="auto"/>
        <w:rPr>
          <w:rFonts w:ascii="Times New Roman" w:eastAsia="SymbolMT" w:hAnsi="Times New Roman" w:cs="Times New Roman"/>
          <w:b/>
          <w:sz w:val="24"/>
          <w:szCs w:val="24"/>
          <w:u w:val="single"/>
        </w:rPr>
      </w:pPr>
    </w:p>
    <w:p w:rsidR="00FF0603" w:rsidRDefault="00FF0603" w:rsidP="002D6087">
      <w:pPr>
        <w:autoSpaceDE w:val="0"/>
        <w:autoSpaceDN w:val="0"/>
        <w:adjustRightInd w:val="0"/>
        <w:spacing w:after="0" w:line="240" w:lineRule="auto"/>
        <w:rPr>
          <w:rFonts w:ascii="Times New Roman" w:eastAsia="SymbolMT" w:hAnsi="Times New Roman" w:cs="Times New Roman"/>
          <w:b/>
          <w:sz w:val="24"/>
          <w:szCs w:val="24"/>
          <w:u w:val="single"/>
        </w:rPr>
      </w:pPr>
    </w:p>
    <w:p w:rsidR="002D6087" w:rsidRPr="0063773C" w:rsidRDefault="002D6087" w:rsidP="002D6087">
      <w:pPr>
        <w:rPr>
          <w:rFonts w:ascii="Times New Roman" w:eastAsia="SymbolMT" w:hAnsi="Times New Roman" w:cs="Times New Roman"/>
          <w:b/>
          <w:color w:val="FF0000"/>
          <w:sz w:val="24"/>
          <w:szCs w:val="24"/>
          <w:u w:val="single"/>
        </w:rPr>
      </w:pPr>
      <w:r w:rsidRPr="0063773C">
        <w:rPr>
          <w:rFonts w:ascii="Times New Roman" w:eastAsia="SymbolMT" w:hAnsi="Times New Roman" w:cs="Times New Roman"/>
          <w:b/>
          <w:color w:val="FF0000"/>
          <w:sz w:val="24"/>
          <w:szCs w:val="24"/>
          <w:u w:val="single"/>
        </w:rPr>
        <w:t>Borsa</w:t>
      </w:r>
      <w:r>
        <w:rPr>
          <w:rFonts w:ascii="Times New Roman" w:eastAsia="SymbolMT" w:hAnsi="Times New Roman" w:cs="Times New Roman"/>
          <w:b/>
          <w:color w:val="FF0000"/>
          <w:sz w:val="24"/>
          <w:szCs w:val="24"/>
          <w:u w:val="single"/>
        </w:rPr>
        <w:t>da İşlem Gören Araçlar</w:t>
      </w:r>
      <w:r w:rsidRPr="0063773C">
        <w:rPr>
          <w:rFonts w:ascii="Times New Roman" w:eastAsia="SymbolMT" w:hAnsi="Times New Roman" w:cs="Times New Roman"/>
          <w:b/>
          <w:color w:val="FF0000"/>
          <w:sz w:val="24"/>
          <w:szCs w:val="24"/>
          <w:u w:val="single"/>
        </w:rPr>
        <w:t xml:space="preserve"> için </w:t>
      </w:r>
      <w:r>
        <w:rPr>
          <w:rFonts w:ascii="Times New Roman" w:eastAsia="SymbolMT" w:hAnsi="Times New Roman" w:cs="Times New Roman"/>
          <w:b/>
          <w:color w:val="FF0000"/>
          <w:sz w:val="24"/>
          <w:szCs w:val="24"/>
          <w:u w:val="single"/>
        </w:rPr>
        <w:t>Ö</w:t>
      </w:r>
      <w:r w:rsidRPr="0063773C">
        <w:rPr>
          <w:rFonts w:ascii="Times New Roman" w:eastAsia="SymbolMT" w:hAnsi="Times New Roman" w:cs="Times New Roman"/>
          <w:b/>
          <w:color w:val="FF0000"/>
          <w:sz w:val="24"/>
          <w:szCs w:val="24"/>
          <w:u w:val="single"/>
        </w:rPr>
        <w:t xml:space="preserve">rnekler </w:t>
      </w:r>
    </w:p>
    <w:p w:rsidR="002D6087" w:rsidRPr="00B57EF2" w:rsidRDefault="002D6087" w:rsidP="002D6087">
      <w:pPr>
        <w:autoSpaceDE w:val="0"/>
        <w:autoSpaceDN w:val="0"/>
        <w:adjustRightInd w:val="0"/>
        <w:spacing w:after="0" w:line="240" w:lineRule="auto"/>
        <w:rPr>
          <w:rFonts w:ascii="Times New Roman" w:eastAsia="SymbolMT" w:hAnsi="Times New Roman" w:cs="Times New Roman"/>
          <w:sz w:val="24"/>
          <w:szCs w:val="24"/>
        </w:rPr>
      </w:pPr>
      <w:r w:rsidRPr="00B57EF2">
        <w:rPr>
          <w:rFonts w:ascii="Times New Roman" w:eastAsia="SymbolMT" w:hAnsi="Times New Roman" w:cs="Times New Roman"/>
          <w:b/>
          <w:sz w:val="24"/>
          <w:szCs w:val="24"/>
          <w:u w:val="single"/>
        </w:rPr>
        <w:t>Vadeli İşlem Sözleşmeleri</w:t>
      </w:r>
    </w:p>
    <w:p w:rsidR="002D6087" w:rsidRPr="00B57EF2" w:rsidRDefault="002D6087" w:rsidP="002D6087">
      <w:pPr>
        <w:autoSpaceDE w:val="0"/>
        <w:autoSpaceDN w:val="0"/>
        <w:adjustRightInd w:val="0"/>
        <w:spacing w:after="0" w:line="240" w:lineRule="auto"/>
        <w:rPr>
          <w:rFonts w:ascii="Times New Roman" w:eastAsia="SymbolMT" w:hAnsi="Times New Roman" w:cs="Times New Roman"/>
          <w:sz w:val="24"/>
          <w:szCs w:val="24"/>
        </w:rPr>
      </w:pPr>
    </w:p>
    <w:p w:rsidR="002D6087" w:rsidRPr="0082152F" w:rsidRDefault="002D6087" w:rsidP="003C0A07">
      <w:pPr>
        <w:autoSpaceDE w:val="0"/>
        <w:autoSpaceDN w:val="0"/>
        <w:adjustRightInd w:val="0"/>
        <w:spacing w:after="0" w:line="240" w:lineRule="auto"/>
        <w:jc w:val="both"/>
        <w:rPr>
          <w:rFonts w:ascii="Times New Roman" w:eastAsia="SymbolMT" w:hAnsi="Times New Roman" w:cs="Times New Roman"/>
          <w:sz w:val="24"/>
          <w:szCs w:val="24"/>
        </w:rPr>
      </w:pPr>
      <w:r w:rsidRPr="0082152F">
        <w:rPr>
          <w:rFonts w:ascii="Times New Roman" w:eastAsia="SymbolMT" w:hAnsi="Times New Roman" w:cs="Times New Roman"/>
          <w:sz w:val="24"/>
          <w:szCs w:val="24"/>
        </w:rPr>
        <w:t>Vadeli İşlem Pozisyonu = Kontrat Sayısı * Sözleşme Büyüklüğü * Dayanak Varlığın Piyasa Fiyatı</w:t>
      </w:r>
    </w:p>
    <w:p w:rsidR="002D6087" w:rsidRPr="0082152F" w:rsidRDefault="002D6087" w:rsidP="005845F8">
      <w:pPr>
        <w:autoSpaceDE w:val="0"/>
        <w:autoSpaceDN w:val="0"/>
        <w:adjustRightInd w:val="0"/>
        <w:spacing w:after="0" w:line="240" w:lineRule="auto"/>
        <w:rPr>
          <w:rFonts w:ascii="Times New Roman" w:eastAsia="SymbolMT" w:hAnsi="Times New Roman" w:cs="Times New Roman"/>
          <w:sz w:val="24"/>
          <w:szCs w:val="24"/>
        </w:rPr>
      </w:pPr>
    </w:p>
    <w:p w:rsidR="002D6087" w:rsidRPr="00E66E3E" w:rsidRDefault="002D6087" w:rsidP="005845F8">
      <w:pPr>
        <w:jc w:val="both"/>
        <w:rPr>
          <w:rFonts w:ascii="Times New Roman" w:hAnsi="Times New Roman" w:cs="Times New Roman"/>
          <w:b/>
          <w:sz w:val="24"/>
          <w:szCs w:val="24"/>
          <w:u w:val="single"/>
        </w:rPr>
      </w:pPr>
      <w:r w:rsidRPr="00E66E3E">
        <w:rPr>
          <w:rFonts w:ascii="Times New Roman" w:eastAsia="SymbolMT" w:hAnsi="Times New Roman" w:cs="Times New Roman"/>
          <w:b/>
          <w:sz w:val="24"/>
          <w:szCs w:val="24"/>
          <w:u w:val="single"/>
        </w:rPr>
        <w:t>Örnekler</w:t>
      </w:r>
    </w:p>
    <w:p w:rsidR="002D6087" w:rsidRPr="00BD2ED0" w:rsidRDefault="002D6087" w:rsidP="005845F8">
      <w:pPr>
        <w:shd w:val="clear" w:color="auto" w:fill="FFFFFF"/>
        <w:spacing w:after="0" w:line="255" w:lineRule="atLeast"/>
        <w:jc w:val="both"/>
        <w:rPr>
          <w:rFonts w:ascii="Times New Roman" w:eastAsia="Times New Roman" w:hAnsi="Times New Roman"/>
          <w:sz w:val="24"/>
          <w:szCs w:val="24"/>
          <w:lang w:eastAsia="tr-TR"/>
        </w:rPr>
      </w:pPr>
      <w:r w:rsidRPr="00BD2ED0">
        <w:rPr>
          <w:rFonts w:ascii="Times New Roman" w:eastAsia="Times New Roman" w:hAnsi="Times New Roman"/>
          <w:sz w:val="24"/>
          <w:szCs w:val="24"/>
          <w:lang w:eastAsia="tr-TR"/>
        </w:rPr>
        <w:t xml:space="preserve">Endekse dayalı vadeli işlem sözleşmesinden kaynaklanan açık pozisyon aşağıdaki şekilde hesaplanır. </w:t>
      </w:r>
    </w:p>
    <w:p w:rsidR="002D6087" w:rsidRPr="00BD2ED0" w:rsidRDefault="002D6087" w:rsidP="005845F8">
      <w:pPr>
        <w:shd w:val="clear" w:color="auto" w:fill="FFFFFF"/>
        <w:spacing w:before="75" w:after="45" w:line="255" w:lineRule="atLeast"/>
        <w:ind w:left="300"/>
        <w:jc w:val="both"/>
        <w:rPr>
          <w:rFonts w:ascii="Times New Roman" w:eastAsia="Times New Roman" w:hAnsi="Times New Roman"/>
          <w:sz w:val="24"/>
          <w:szCs w:val="24"/>
          <w:lang w:eastAsia="tr-TR"/>
        </w:rPr>
      </w:pPr>
    </w:p>
    <w:p w:rsidR="002D6087" w:rsidRPr="00BD2ED0" w:rsidRDefault="002D6087" w:rsidP="005845F8">
      <w:pPr>
        <w:shd w:val="clear" w:color="auto" w:fill="FFFFFF"/>
        <w:spacing w:before="75" w:after="45" w:line="255" w:lineRule="atLeast"/>
        <w:jc w:val="both"/>
        <w:rPr>
          <w:rFonts w:ascii="Times New Roman" w:eastAsia="Times New Roman" w:hAnsi="Times New Roman"/>
          <w:sz w:val="24"/>
          <w:szCs w:val="24"/>
          <w:lang w:eastAsia="tr-TR"/>
        </w:rPr>
      </w:pPr>
      <w:r w:rsidRPr="00BD2ED0">
        <w:rPr>
          <w:rFonts w:ascii="Times New Roman" w:eastAsia="Times New Roman" w:hAnsi="Times New Roman"/>
          <w:sz w:val="24"/>
          <w:szCs w:val="24"/>
          <w:lang w:eastAsia="tr-TR"/>
        </w:rPr>
        <w:t>12.12.2013 tarihinde, BIST 30 endeksine dayalı, üç adet Şubat 2014 vadeli sözleşme (F_XU0300214S0) için hesaplama aşağıdaki şekilde yapılır.</w:t>
      </w:r>
    </w:p>
    <w:p w:rsidR="002D6087" w:rsidRPr="00BD2ED0" w:rsidRDefault="002D6087" w:rsidP="00180CBC">
      <w:pPr>
        <w:shd w:val="clear" w:color="auto" w:fill="FFFFFF"/>
        <w:spacing w:before="75" w:after="45" w:line="255" w:lineRule="atLeast"/>
        <w:ind w:left="300" w:right="300"/>
        <w:jc w:val="both"/>
        <w:rPr>
          <w:rFonts w:ascii="Times New Roman" w:eastAsia="Times New Roman" w:hAnsi="Times New Roman"/>
          <w:sz w:val="24"/>
          <w:szCs w:val="24"/>
          <w:lang w:eastAsia="tr-TR"/>
        </w:rPr>
      </w:pPr>
    </w:p>
    <w:p w:rsidR="002D6087" w:rsidRPr="00BD2ED0" w:rsidRDefault="002D6087" w:rsidP="00180CBC">
      <w:pPr>
        <w:shd w:val="clear" w:color="auto" w:fill="FFFFFF"/>
        <w:spacing w:before="75" w:after="45" w:line="255" w:lineRule="atLeast"/>
        <w:ind w:right="300"/>
        <w:jc w:val="both"/>
        <w:rPr>
          <w:rFonts w:ascii="Times New Roman" w:eastAsia="Times New Roman" w:hAnsi="Times New Roman"/>
          <w:sz w:val="24"/>
          <w:szCs w:val="24"/>
          <w:lang w:eastAsia="tr-TR"/>
        </w:rPr>
      </w:pPr>
      <w:r w:rsidRPr="00BD2ED0">
        <w:rPr>
          <w:rFonts w:ascii="Times New Roman" w:eastAsia="Times New Roman" w:hAnsi="Times New Roman"/>
          <w:sz w:val="24"/>
          <w:szCs w:val="24"/>
          <w:lang w:eastAsia="tr-TR"/>
        </w:rPr>
        <w:t>3*100/1000*88.902=26.670,60 TL</w:t>
      </w:r>
    </w:p>
    <w:p w:rsidR="002D6087" w:rsidRPr="00BD2ED0" w:rsidRDefault="002D6087" w:rsidP="005845F8">
      <w:pPr>
        <w:shd w:val="clear" w:color="auto" w:fill="FFFFFF"/>
        <w:spacing w:before="75" w:after="45" w:line="255" w:lineRule="atLeast"/>
        <w:ind w:left="300"/>
        <w:jc w:val="both"/>
        <w:rPr>
          <w:rFonts w:ascii="Times New Roman" w:eastAsia="Times New Roman" w:hAnsi="Times New Roman"/>
          <w:sz w:val="24"/>
          <w:szCs w:val="24"/>
          <w:lang w:eastAsia="tr-TR"/>
        </w:rPr>
      </w:pPr>
    </w:p>
    <w:p w:rsidR="002D6087" w:rsidRPr="00BD2ED0" w:rsidRDefault="002D6087" w:rsidP="005845F8">
      <w:pPr>
        <w:shd w:val="clear" w:color="auto" w:fill="FFFFFF"/>
        <w:spacing w:before="75" w:after="45" w:line="255" w:lineRule="atLeast"/>
        <w:jc w:val="both"/>
        <w:rPr>
          <w:rFonts w:ascii="Times New Roman" w:eastAsia="Times New Roman" w:hAnsi="Times New Roman"/>
          <w:sz w:val="24"/>
          <w:szCs w:val="24"/>
          <w:lang w:eastAsia="tr-TR"/>
        </w:rPr>
      </w:pPr>
      <w:r w:rsidRPr="00BD2ED0">
        <w:rPr>
          <w:rFonts w:ascii="Times New Roman" w:eastAsia="Times New Roman" w:hAnsi="Times New Roman"/>
          <w:sz w:val="24"/>
          <w:szCs w:val="24"/>
          <w:lang w:eastAsia="tr-TR"/>
        </w:rPr>
        <w:t>12.12.2013 tarihinde, altına dayalı, iki adet Şubat 2014 vadeli sözleşme (F_XAUTRY0214S0) için hesaplama aşağıdaki şekilde yapılır.</w:t>
      </w:r>
    </w:p>
    <w:p w:rsidR="002D6087" w:rsidRPr="00BD2ED0" w:rsidRDefault="002D6087" w:rsidP="005845F8">
      <w:pPr>
        <w:shd w:val="clear" w:color="auto" w:fill="FFFFFF"/>
        <w:spacing w:before="75" w:after="45" w:line="255" w:lineRule="atLeast"/>
        <w:ind w:left="300"/>
        <w:jc w:val="both"/>
        <w:rPr>
          <w:rFonts w:ascii="Times New Roman" w:eastAsia="Times New Roman" w:hAnsi="Times New Roman"/>
          <w:sz w:val="24"/>
          <w:szCs w:val="24"/>
          <w:lang w:eastAsia="tr-TR"/>
        </w:rPr>
      </w:pPr>
    </w:p>
    <w:p w:rsidR="002D6087" w:rsidRPr="00BD2ED0" w:rsidRDefault="002D6087" w:rsidP="005845F8">
      <w:pPr>
        <w:shd w:val="clear" w:color="auto" w:fill="FFFFFF"/>
        <w:spacing w:before="75" w:after="45" w:line="255" w:lineRule="atLeast"/>
        <w:jc w:val="both"/>
        <w:rPr>
          <w:rFonts w:ascii="Times New Roman" w:eastAsia="Times New Roman" w:hAnsi="Times New Roman"/>
          <w:sz w:val="24"/>
          <w:szCs w:val="24"/>
          <w:lang w:eastAsia="tr-TR"/>
        </w:rPr>
      </w:pPr>
      <w:r w:rsidRPr="00BD2ED0">
        <w:rPr>
          <w:rFonts w:ascii="Times New Roman" w:eastAsia="Times New Roman" w:hAnsi="Times New Roman"/>
          <w:sz w:val="24"/>
          <w:szCs w:val="24"/>
          <w:lang w:eastAsia="tr-TR"/>
        </w:rPr>
        <w:t>2*100</w:t>
      </w:r>
      <w:r>
        <w:rPr>
          <w:rFonts w:ascii="Times New Roman" w:eastAsia="Times New Roman" w:hAnsi="Times New Roman"/>
          <w:sz w:val="24"/>
          <w:szCs w:val="24"/>
          <w:lang w:eastAsia="tr-TR"/>
        </w:rPr>
        <w:t>*</w:t>
      </w:r>
      <w:r w:rsidRPr="00BD2ED0">
        <w:rPr>
          <w:rFonts w:ascii="Times New Roman" w:eastAsia="Times New Roman" w:hAnsi="Times New Roman"/>
          <w:sz w:val="24"/>
          <w:szCs w:val="24"/>
          <w:lang w:eastAsia="tr-TR"/>
        </w:rPr>
        <w:t xml:space="preserve">81,757= 16.351,40 TL </w:t>
      </w:r>
    </w:p>
    <w:p w:rsidR="002D6087" w:rsidRPr="00BD2ED0" w:rsidRDefault="002D6087" w:rsidP="005845F8">
      <w:pPr>
        <w:shd w:val="clear" w:color="auto" w:fill="FFFFFF"/>
        <w:spacing w:before="75" w:after="45" w:line="255" w:lineRule="atLeast"/>
        <w:ind w:left="300"/>
        <w:jc w:val="both"/>
        <w:rPr>
          <w:rFonts w:ascii="Times New Roman" w:eastAsia="Times New Roman" w:hAnsi="Times New Roman"/>
          <w:sz w:val="24"/>
          <w:szCs w:val="24"/>
          <w:lang w:eastAsia="tr-TR"/>
        </w:rPr>
      </w:pPr>
    </w:p>
    <w:p w:rsidR="002D6087" w:rsidRPr="00BD2ED0" w:rsidRDefault="002D6087" w:rsidP="005845F8">
      <w:pPr>
        <w:shd w:val="clear" w:color="auto" w:fill="FFFFFF"/>
        <w:spacing w:before="75" w:after="45" w:line="255" w:lineRule="atLeast"/>
        <w:jc w:val="both"/>
        <w:rPr>
          <w:rFonts w:ascii="Times New Roman" w:eastAsia="Times New Roman" w:hAnsi="Times New Roman"/>
          <w:sz w:val="24"/>
          <w:szCs w:val="24"/>
          <w:lang w:eastAsia="tr-TR"/>
        </w:rPr>
      </w:pPr>
      <w:r w:rsidRPr="00BD2ED0">
        <w:rPr>
          <w:rFonts w:ascii="Times New Roman" w:eastAsia="Times New Roman" w:hAnsi="Times New Roman"/>
          <w:sz w:val="24"/>
          <w:szCs w:val="24"/>
          <w:lang w:eastAsia="tr-TR"/>
        </w:rPr>
        <w:t>12.12.2013 tarihinde</w:t>
      </w:r>
      <w:r>
        <w:rPr>
          <w:rFonts w:ascii="Times New Roman" w:eastAsia="Times New Roman" w:hAnsi="Times New Roman"/>
          <w:sz w:val="24"/>
          <w:szCs w:val="24"/>
          <w:lang w:eastAsia="tr-TR"/>
        </w:rPr>
        <w:t>,</w:t>
      </w:r>
      <w:r w:rsidRPr="00BD2ED0">
        <w:rPr>
          <w:rFonts w:ascii="Times New Roman" w:eastAsia="Times New Roman" w:hAnsi="Times New Roman"/>
          <w:sz w:val="24"/>
          <w:szCs w:val="24"/>
          <w:lang w:eastAsia="tr-TR"/>
        </w:rPr>
        <w:t xml:space="preserve"> ABD Dolarına dayalı, iki adet Şubat 2014 vadeli sözleşme (F_TRYUSD0214S0) için hesaplama aşağıdaki şekilde yapılır.</w:t>
      </w:r>
    </w:p>
    <w:p w:rsidR="002D6087" w:rsidRPr="00BD2ED0" w:rsidRDefault="002D6087" w:rsidP="005845F8">
      <w:pPr>
        <w:shd w:val="clear" w:color="auto" w:fill="FFFFFF"/>
        <w:spacing w:before="75" w:after="45" w:line="255" w:lineRule="atLeast"/>
        <w:ind w:left="300"/>
        <w:jc w:val="both"/>
        <w:rPr>
          <w:rFonts w:ascii="Times New Roman" w:eastAsia="Times New Roman" w:hAnsi="Times New Roman"/>
          <w:sz w:val="24"/>
          <w:szCs w:val="24"/>
          <w:lang w:eastAsia="tr-TR"/>
        </w:rPr>
      </w:pPr>
    </w:p>
    <w:p w:rsidR="002D6087" w:rsidRPr="00BD2ED0" w:rsidRDefault="002D6087" w:rsidP="005845F8">
      <w:pPr>
        <w:shd w:val="clear" w:color="auto" w:fill="FFFFFF"/>
        <w:spacing w:before="75" w:after="45" w:line="255" w:lineRule="atLeast"/>
        <w:jc w:val="both"/>
        <w:rPr>
          <w:rFonts w:ascii="Times New Roman" w:eastAsia="Times New Roman" w:hAnsi="Times New Roman"/>
          <w:sz w:val="24"/>
          <w:szCs w:val="24"/>
          <w:lang w:eastAsia="tr-TR"/>
        </w:rPr>
      </w:pPr>
      <w:r w:rsidRPr="00BD2ED0">
        <w:rPr>
          <w:rFonts w:ascii="Times New Roman" w:eastAsia="Times New Roman" w:hAnsi="Times New Roman"/>
          <w:sz w:val="24"/>
          <w:szCs w:val="24"/>
          <w:lang w:eastAsia="tr-TR"/>
        </w:rPr>
        <w:t>2*1000</w:t>
      </w:r>
      <w:r>
        <w:rPr>
          <w:rFonts w:ascii="Times New Roman" w:eastAsia="Times New Roman" w:hAnsi="Times New Roman"/>
          <w:sz w:val="24"/>
          <w:szCs w:val="24"/>
          <w:lang w:eastAsia="tr-TR"/>
        </w:rPr>
        <w:t>*</w:t>
      </w:r>
      <w:r w:rsidRPr="00BD2ED0">
        <w:rPr>
          <w:rFonts w:ascii="Times New Roman" w:eastAsia="Times New Roman" w:hAnsi="Times New Roman"/>
          <w:sz w:val="24"/>
          <w:szCs w:val="24"/>
          <w:lang w:eastAsia="tr-TR"/>
        </w:rPr>
        <w:t>2,0407=4.081,40 TL</w:t>
      </w:r>
    </w:p>
    <w:p w:rsidR="002D6087" w:rsidRPr="00BD2ED0" w:rsidRDefault="002D6087" w:rsidP="002D6087">
      <w:pPr>
        <w:shd w:val="clear" w:color="auto" w:fill="FFFFFF"/>
        <w:spacing w:before="75" w:after="45" w:line="255" w:lineRule="atLeast"/>
        <w:ind w:left="300" w:right="300"/>
        <w:jc w:val="both"/>
        <w:rPr>
          <w:rFonts w:ascii="Times New Roman" w:eastAsia="Times New Roman" w:hAnsi="Times New Roman"/>
          <w:sz w:val="24"/>
          <w:szCs w:val="24"/>
          <w:lang w:eastAsia="tr-TR"/>
        </w:rPr>
      </w:pPr>
    </w:p>
    <w:p w:rsidR="002D6087" w:rsidRPr="0082152F" w:rsidRDefault="002D6087" w:rsidP="002D6087">
      <w:pPr>
        <w:autoSpaceDE w:val="0"/>
        <w:autoSpaceDN w:val="0"/>
        <w:adjustRightInd w:val="0"/>
        <w:spacing w:after="0" w:line="240" w:lineRule="auto"/>
        <w:rPr>
          <w:rFonts w:ascii="Times New Roman" w:eastAsia="SymbolMT" w:hAnsi="Times New Roman" w:cs="Times New Roman"/>
          <w:sz w:val="24"/>
          <w:szCs w:val="24"/>
        </w:rPr>
      </w:pPr>
      <w:r w:rsidRPr="0082152F">
        <w:rPr>
          <w:rFonts w:ascii="Times New Roman" w:eastAsia="SymbolMT" w:hAnsi="Times New Roman" w:cs="Times New Roman"/>
          <w:b/>
          <w:sz w:val="24"/>
          <w:szCs w:val="24"/>
          <w:u w:val="single"/>
        </w:rPr>
        <w:t>Opsiyon Sözleşmeleri</w:t>
      </w:r>
    </w:p>
    <w:p w:rsidR="002D6087" w:rsidRDefault="002D6087" w:rsidP="002D6087">
      <w:pPr>
        <w:autoSpaceDE w:val="0"/>
        <w:autoSpaceDN w:val="0"/>
        <w:adjustRightInd w:val="0"/>
        <w:spacing w:after="0" w:line="240" w:lineRule="auto"/>
        <w:rPr>
          <w:rFonts w:ascii="Times New Roman" w:eastAsia="SymbolMT" w:hAnsi="Times New Roman" w:cs="Times New Roman"/>
          <w:sz w:val="24"/>
          <w:szCs w:val="24"/>
        </w:rPr>
      </w:pPr>
    </w:p>
    <w:p w:rsidR="002D6087" w:rsidRPr="00106ADD" w:rsidRDefault="002D6087" w:rsidP="002D6087">
      <w:pPr>
        <w:autoSpaceDE w:val="0"/>
        <w:autoSpaceDN w:val="0"/>
        <w:adjustRightInd w:val="0"/>
        <w:spacing w:after="0" w:line="240" w:lineRule="auto"/>
        <w:rPr>
          <w:rFonts w:ascii="Times New Roman" w:eastAsia="SymbolMT" w:hAnsi="Times New Roman" w:cs="Times New Roman"/>
          <w:sz w:val="24"/>
          <w:szCs w:val="24"/>
        </w:rPr>
      </w:pPr>
      <w:r w:rsidRPr="00106ADD">
        <w:rPr>
          <w:rFonts w:ascii="Times New Roman" w:eastAsia="SymbolMT" w:hAnsi="Times New Roman" w:cs="Times New Roman"/>
          <w:sz w:val="24"/>
          <w:szCs w:val="24"/>
        </w:rPr>
        <w:t xml:space="preserve">Opsiyon Sözleşmesi Pozisyonu = Kontrat Sayısı * Sözleşme Büyüklüğü * </w:t>
      </w:r>
      <w:r>
        <w:rPr>
          <w:rFonts w:ascii="Times New Roman" w:eastAsia="SymbolMT" w:hAnsi="Times New Roman" w:cs="Times New Roman"/>
          <w:sz w:val="24"/>
          <w:szCs w:val="24"/>
        </w:rPr>
        <w:t>(</w:t>
      </w:r>
      <w:r w:rsidRPr="00106ADD">
        <w:rPr>
          <w:rFonts w:ascii="Times New Roman" w:eastAsia="SymbolMT" w:hAnsi="Times New Roman" w:cs="Times New Roman"/>
          <w:sz w:val="24"/>
          <w:szCs w:val="24"/>
        </w:rPr>
        <w:t>Endeks Seviyesi</w:t>
      </w:r>
      <w:r>
        <w:rPr>
          <w:rFonts w:ascii="Times New Roman" w:eastAsia="SymbolMT" w:hAnsi="Times New Roman" w:cs="Times New Roman"/>
          <w:sz w:val="24"/>
          <w:szCs w:val="24"/>
        </w:rPr>
        <w:t xml:space="preserve"> veya Dayanak Varlığın Piyasa Fiyatı)</w:t>
      </w:r>
      <w:r w:rsidRPr="00106ADD">
        <w:rPr>
          <w:rFonts w:ascii="Times New Roman" w:eastAsia="SymbolMT" w:hAnsi="Times New Roman" w:cs="Times New Roman"/>
          <w:sz w:val="24"/>
          <w:szCs w:val="24"/>
        </w:rPr>
        <w:t xml:space="preserve"> * Delta</w:t>
      </w:r>
    </w:p>
    <w:p w:rsidR="002D6087" w:rsidRPr="0082152F" w:rsidRDefault="002D6087" w:rsidP="002D6087">
      <w:pPr>
        <w:autoSpaceDE w:val="0"/>
        <w:autoSpaceDN w:val="0"/>
        <w:adjustRightInd w:val="0"/>
        <w:spacing w:after="0" w:line="240" w:lineRule="auto"/>
        <w:rPr>
          <w:rFonts w:ascii="Times New Roman" w:eastAsia="SymbolMT" w:hAnsi="Times New Roman" w:cs="Times New Roman"/>
          <w:sz w:val="24"/>
          <w:szCs w:val="24"/>
        </w:rPr>
      </w:pPr>
    </w:p>
    <w:p w:rsidR="002D6087" w:rsidRPr="0082152F" w:rsidRDefault="002D6087" w:rsidP="002D6087">
      <w:pPr>
        <w:jc w:val="both"/>
        <w:rPr>
          <w:rFonts w:ascii="Times New Roman" w:hAnsi="Times New Roman" w:cs="Times New Roman"/>
          <w:b/>
          <w:sz w:val="24"/>
          <w:szCs w:val="24"/>
          <w:u w:val="single"/>
        </w:rPr>
      </w:pPr>
      <w:r w:rsidRPr="0082152F">
        <w:rPr>
          <w:rFonts w:ascii="Times New Roman" w:eastAsia="SymbolMT" w:hAnsi="Times New Roman" w:cs="Times New Roman"/>
          <w:sz w:val="24"/>
          <w:szCs w:val="24"/>
          <w:u w:val="single"/>
        </w:rPr>
        <w:t>Örnekler</w:t>
      </w:r>
    </w:p>
    <w:p w:rsidR="002D6087" w:rsidRPr="00BD2ED0" w:rsidRDefault="002D6087" w:rsidP="005845F8">
      <w:pPr>
        <w:shd w:val="clear" w:color="auto" w:fill="FFFFFF"/>
        <w:spacing w:before="75" w:after="45" w:line="255" w:lineRule="atLeast"/>
        <w:jc w:val="both"/>
        <w:rPr>
          <w:rFonts w:ascii="Times New Roman" w:eastAsia="Times New Roman" w:hAnsi="Times New Roman"/>
          <w:sz w:val="24"/>
          <w:szCs w:val="24"/>
          <w:lang w:eastAsia="tr-TR"/>
        </w:rPr>
      </w:pPr>
      <w:r w:rsidRPr="00BD2ED0">
        <w:rPr>
          <w:rFonts w:ascii="Times New Roman" w:eastAsia="Times New Roman" w:hAnsi="Times New Roman"/>
          <w:sz w:val="24"/>
          <w:szCs w:val="24"/>
          <w:lang w:eastAsia="tr-TR"/>
        </w:rPr>
        <w:t xml:space="preserve">12.12.2013 tarihinde, BIST-30 endeksine dayalı 82.000 kullanım fiyatlı Şubat 2014 vadeli (O_XU030E0214C82.000S0) satın alma hakkı veren 120 opsiyon sözleşmesi için deltanın 0,5 olduğu varsayımı altında hesaplama aşağıdaki şekilde yapılır. </w:t>
      </w:r>
    </w:p>
    <w:p w:rsidR="002D6087" w:rsidRPr="00BD2ED0" w:rsidRDefault="002D6087" w:rsidP="005845F8">
      <w:pPr>
        <w:shd w:val="clear" w:color="auto" w:fill="FFFFFF"/>
        <w:spacing w:before="75" w:after="45" w:line="255" w:lineRule="atLeast"/>
        <w:jc w:val="both"/>
        <w:rPr>
          <w:rFonts w:ascii="Times New Roman" w:eastAsia="Times New Roman" w:hAnsi="Times New Roman"/>
          <w:sz w:val="24"/>
          <w:szCs w:val="24"/>
          <w:lang w:eastAsia="tr-TR"/>
        </w:rPr>
      </w:pPr>
    </w:p>
    <w:p w:rsidR="002D6087" w:rsidRPr="00BD2ED0" w:rsidRDefault="002D6087" w:rsidP="005845F8">
      <w:pPr>
        <w:shd w:val="clear" w:color="auto" w:fill="FFFFFF"/>
        <w:spacing w:before="75" w:after="45" w:line="255" w:lineRule="atLeast"/>
        <w:jc w:val="both"/>
        <w:rPr>
          <w:rFonts w:ascii="Times New Roman" w:eastAsia="Times New Roman" w:hAnsi="Times New Roman"/>
          <w:sz w:val="24"/>
          <w:szCs w:val="24"/>
          <w:lang w:eastAsia="tr-TR"/>
        </w:rPr>
      </w:pPr>
      <w:r w:rsidRPr="00BD2ED0">
        <w:rPr>
          <w:rFonts w:ascii="Times New Roman" w:eastAsia="Times New Roman" w:hAnsi="Times New Roman"/>
          <w:sz w:val="24"/>
          <w:szCs w:val="24"/>
          <w:lang w:eastAsia="tr-TR"/>
        </w:rPr>
        <w:t>120*100/1000*88.902*0,5 = 533.412 TL</w:t>
      </w:r>
    </w:p>
    <w:p w:rsidR="002D6087" w:rsidRPr="00BD2ED0" w:rsidRDefault="002D6087" w:rsidP="005845F8">
      <w:pPr>
        <w:shd w:val="clear" w:color="auto" w:fill="FFFFFF"/>
        <w:spacing w:before="75" w:after="45" w:line="255" w:lineRule="atLeast"/>
        <w:jc w:val="both"/>
        <w:rPr>
          <w:rFonts w:ascii="Times New Roman" w:eastAsia="Times New Roman" w:hAnsi="Times New Roman"/>
          <w:sz w:val="24"/>
          <w:szCs w:val="24"/>
          <w:lang w:eastAsia="tr-TR"/>
        </w:rPr>
      </w:pPr>
    </w:p>
    <w:p w:rsidR="002D6087" w:rsidRPr="00BD2ED0" w:rsidRDefault="002D6087" w:rsidP="005845F8">
      <w:pPr>
        <w:shd w:val="clear" w:color="auto" w:fill="FFFFFF"/>
        <w:spacing w:before="75" w:after="45" w:line="255" w:lineRule="atLeast"/>
        <w:jc w:val="both"/>
        <w:rPr>
          <w:rFonts w:ascii="Times New Roman" w:eastAsia="Times New Roman" w:hAnsi="Times New Roman"/>
          <w:sz w:val="24"/>
          <w:szCs w:val="24"/>
          <w:lang w:eastAsia="tr-TR"/>
        </w:rPr>
      </w:pPr>
      <w:r w:rsidRPr="00BD2ED0">
        <w:rPr>
          <w:rFonts w:ascii="Times New Roman" w:eastAsia="Times New Roman" w:hAnsi="Times New Roman"/>
          <w:sz w:val="24"/>
          <w:szCs w:val="24"/>
          <w:lang w:eastAsia="tr-TR"/>
        </w:rPr>
        <w:t xml:space="preserve">12.12.2013 tarihinde, </w:t>
      </w:r>
      <w:r>
        <w:rPr>
          <w:rFonts w:ascii="Times New Roman" w:eastAsia="Times New Roman" w:hAnsi="Times New Roman"/>
          <w:sz w:val="24"/>
          <w:szCs w:val="24"/>
          <w:lang w:eastAsia="tr-TR"/>
        </w:rPr>
        <w:t>ABC</w:t>
      </w:r>
      <w:r w:rsidRPr="00BD2ED0">
        <w:rPr>
          <w:rFonts w:ascii="Times New Roman" w:eastAsia="Times New Roman" w:hAnsi="Times New Roman"/>
          <w:sz w:val="24"/>
          <w:szCs w:val="24"/>
          <w:lang w:eastAsia="tr-TR"/>
        </w:rPr>
        <w:t xml:space="preserve"> A.Ş. payları için 6 TL kullanım fiyatlı Şubat 2014 vadeli (O_</w:t>
      </w:r>
      <w:r>
        <w:rPr>
          <w:rFonts w:ascii="Times New Roman" w:eastAsia="Times New Roman" w:hAnsi="Times New Roman"/>
          <w:sz w:val="24"/>
          <w:szCs w:val="24"/>
          <w:lang w:eastAsia="tr-TR"/>
        </w:rPr>
        <w:t>ABCAS</w:t>
      </w:r>
      <w:r w:rsidRPr="00BD2ED0">
        <w:rPr>
          <w:rFonts w:ascii="Times New Roman" w:eastAsia="Times New Roman" w:hAnsi="Times New Roman"/>
          <w:sz w:val="24"/>
          <w:szCs w:val="24"/>
          <w:lang w:eastAsia="tr-TR"/>
        </w:rPr>
        <w:t>A1213C6.00S0) satın alma hakkı veren 90 adet opsiyon sözleşmesi için deltanın 0,5 olduğu varsayımı altında hesaplama aşağıdaki şekilde yapılır.</w:t>
      </w:r>
    </w:p>
    <w:p w:rsidR="002D6087" w:rsidRPr="0082152F" w:rsidRDefault="002D6087" w:rsidP="002D6087">
      <w:pPr>
        <w:autoSpaceDE w:val="0"/>
        <w:autoSpaceDN w:val="0"/>
        <w:adjustRightInd w:val="0"/>
        <w:spacing w:after="0" w:line="240" w:lineRule="auto"/>
        <w:rPr>
          <w:rFonts w:ascii="Times New Roman" w:eastAsia="SymbolMT" w:hAnsi="Times New Roman" w:cs="Times New Roman"/>
          <w:sz w:val="24"/>
          <w:szCs w:val="24"/>
        </w:rPr>
      </w:pPr>
    </w:p>
    <w:p w:rsidR="002D6087" w:rsidRPr="0082152F" w:rsidRDefault="002D6087" w:rsidP="002D6087">
      <w:pPr>
        <w:autoSpaceDE w:val="0"/>
        <w:autoSpaceDN w:val="0"/>
        <w:adjustRightInd w:val="0"/>
        <w:spacing w:after="0" w:line="240" w:lineRule="auto"/>
        <w:rPr>
          <w:rFonts w:ascii="Times New Roman" w:eastAsia="SymbolMT" w:hAnsi="Times New Roman" w:cs="Times New Roman"/>
          <w:sz w:val="24"/>
          <w:szCs w:val="24"/>
        </w:rPr>
      </w:pPr>
      <w:r w:rsidRPr="0082152F">
        <w:rPr>
          <w:rFonts w:ascii="Times New Roman" w:eastAsia="SymbolMT" w:hAnsi="Times New Roman" w:cs="Times New Roman"/>
          <w:sz w:val="24"/>
          <w:szCs w:val="24"/>
        </w:rPr>
        <w:t>90*100*7,02*0,5= 31.590 TL</w:t>
      </w:r>
    </w:p>
    <w:p w:rsidR="002D6087" w:rsidRPr="0082152F" w:rsidRDefault="002D6087" w:rsidP="002D6087">
      <w:pPr>
        <w:autoSpaceDE w:val="0"/>
        <w:autoSpaceDN w:val="0"/>
        <w:adjustRightInd w:val="0"/>
        <w:spacing w:after="0" w:line="240" w:lineRule="auto"/>
        <w:rPr>
          <w:rFonts w:ascii="Times New Roman" w:eastAsia="SymbolMT" w:hAnsi="Times New Roman" w:cs="Times New Roman"/>
          <w:sz w:val="24"/>
          <w:szCs w:val="24"/>
        </w:rPr>
      </w:pPr>
    </w:p>
    <w:p w:rsidR="00FF0603" w:rsidRDefault="00FF0603" w:rsidP="002D6087">
      <w:pPr>
        <w:autoSpaceDE w:val="0"/>
        <w:autoSpaceDN w:val="0"/>
        <w:adjustRightInd w:val="0"/>
        <w:spacing w:after="0" w:line="240" w:lineRule="auto"/>
        <w:rPr>
          <w:rFonts w:ascii="Times New Roman" w:eastAsia="SymbolMT" w:hAnsi="Times New Roman" w:cs="Times New Roman"/>
          <w:b/>
          <w:sz w:val="24"/>
          <w:szCs w:val="24"/>
          <w:u w:val="single"/>
        </w:rPr>
      </w:pPr>
    </w:p>
    <w:p w:rsidR="00FF0603" w:rsidRDefault="00FF0603" w:rsidP="002D6087">
      <w:pPr>
        <w:autoSpaceDE w:val="0"/>
        <w:autoSpaceDN w:val="0"/>
        <w:adjustRightInd w:val="0"/>
        <w:spacing w:after="0" w:line="240" w:lineRule="auto"/>
        <w:rPr>
          <w:rFonts w:ascii="Times New Roman" w:eastAsia="SymbolMT" w:hAnsi="Times New Roman" w:cs="Times New Roman"/>
          <w:b/>
          <w:sz w:val="24"/>
          <w:szCs w:val="24"/>
          <w:u w:val="single"/>
        </w:rPr>
      </w:pPr>
    </w:p>
    <w:p w:rsidR="002D6087" w:rsidRPr="0082152F" w:rsidRDefault="002D6087" w:rsidP="002D6087">
      <w:pPr>
        <w:autoSpaceDE w:val="0"/>
        <w:autoSpaceDN w:val="0"/>
        <w:adjustRightInd w:val="0"/>
        <w:spacing w:after="0" w:line="240" w:lineRule="auto"/>
        <w:rPr>
          <w:rFonts w:ascii="Times New Roman" w:eastAsia="SymbolMT" w:hAnsi="Times New Roman" w:cs="Times New Roman"/>
          <w:b/>
          <w:sz w:val="24"/>
          <w:szCs w:val="24"/>
          <w:u w:val="single"/>
        </w:rPr>
      </w:pPr>
      <w:r w:rsidRPr="0082152F">
        <w:rPr>
          <w:rFonts w:ascii="Times New Roman" w:eastAsia="SymbolMT" w:hAnsi="Times New Roman" w:cs="Times New Roman"/>
          <w:b/>
          <w:sz w:val="24"/>
          <w:szCs w:val="24"/>
          <w:u w:val="single"/>
        </w:rPr>
        <w:t>Varant</w:t>
      </w:r>
    </w:p>
    <w:p w:rsidR="002D6087" w:rsidRPr="0082152F" w:rsidRDefault="002D6087" w:rsidP="002D6087">
      <w:pPr>
        <w:autoSpaceDE w:val="0"/>
        <w:autoSpaceDN w:val="0"/>
        <w:adjustRightInd w:val="0"/>
        <w:spacing w:after="0" w:line="240" w:lineRule="auto"/>
        <w:rPr>
          <w:rFonts w:ascii="Times New Roman" w:eastAsia="SymbolMT" w:hAnsi="Times New Roman" w:cs="Times New Roman"/>
          <w:sz w:val="24"/>
          <w:szCs w:val="24"/>
        </w:rPr>
      </w:pPr>
    </w:p>
    <w:p w:rsidR="002D6087" w:rsidRPr="0082152F" w:rsidRDefault="002D6087" w:rsidP="003C0A07">
      <w:pPr>
        <w:autoSpaceDE w:val="0"/>
        <w:autoSpaceDN w:val="0"/>
        <w:adjustRightInd w:val="0"/>
        <w:spacing w:after="0" w:line="240" w:lineRule="auto"/>
        <w:jc w:val="both"/>
        <w:rPr>
          <w:rFonts w:ascii="Times New Roman" w:eastAsia="SymbolMT" w:hAnsi="Times New Roman" w:cs="Times New Roman"/>
          <w:sz w:val="24"/>
          <w:szCs w:val="24"/>
        </w:rPr>
      </w:pPr>
      <w:r w:rsidRPr="0082152F">
        <w:rPr>
          <w:rFonts w:ascii="Times New Roman" w:eastAsia="SymbolMT" w:hAnsi="Times New Roman" w:cs="Times New Roman"/>
          <w:sz w:val="24"/>
          <w:szCs w:val="24"/>
        </w:rPr>
        <w:t xml:space="preserve">Varant Pozisyonu= Varant Sayısı * (1/ Dönüşüm Oranı) * Dayanak Varlık veya Göstergenin Piyasa Fiyatı * Delta </w:t>
      </w:r>
    </w:p>
    <w:p w:rsidR="002D6087" w:rsidRPr="00BD2ED0" w:rsidRDefault="002D6087" w:rsidP="005845F8">
      <w:pPr>
        <w:shd w:val="clear" w:color="auto" w:fill="FFFFFF"/>
        <w:spacing w:before="75" w:after="45" w:line="255" w:lineRule="atLeast"/>
        <w:jc w:val="both"/>
        <w:rPr>
          <w:rFonts w:ascii="Times New Roman" w:eastAsia="Times New Roman" w:hAnsi="Times New Roman"/>
          <w:sz w:val="24"/>
          <w:szCs w:val="24"/>
          <w:lang w:eastAsia="tr-TR"/>
        </w:rPr>
      </w:pPr>
    </w:p>
    <w:p w:rsidR="002D6087" w:rsidRPr="00BD2ED0" w:rsidRDefault="002D6087" w:rsidP="005845F8">
      <w:pPr>
        <w:shd w:val="clear" w:color="auto" w:fill="FFFFFF"/>
        <w:spacing w:before="75" w:after="45" w:line="255" w:lineRule="atLeast"/>
        <w:jc w:val="both"/>
        <w:rPr>
          <w:rFonts w:ascii="Times New Roman" w:eastAsia="Times New Roman" w:hAnsi="Times New Roman"/>
          <w:sz w:val="24"/>
          <w:szCs w:val="24"/>
          <w:lang w:eastAsia="tr-TR"/>
        </w:rPr>
      </w:pPr>
      <w:r w:rsidRPr="00BD2ED0">
        <w:rPr>
          <w:rFonts w:ascii="Times New Roman" w:eastAsia="Times New Roman" w:hAnsi="Times New Roman"/>
          <w:sz w:val="24"/>
          <w:szCs w:val="24"/>
          <w:lang w:eastAsia="tr-TR"/>
        </w:rPr>
        <w:t xml:space="preserve">12.12.2013 tarihinde, </w:t>
      </w:r>
      <w:r>
        <w:rPr>
          <w:rFonts w:ascii="Times New Roman" w:eastAsia="Times New Roman" w:hAnsi="Times New Roman"/>
          <w:sz w:val="24"/>
          <w:szCs w:val="24"/>
          <w:lang w:eastAsia="tr-TR"/>
        </w:rPr>
        <w:t>DEF</w:t>
      </w:r>
      <w:r w:rsidRPr="00BD2ED0">
        <w:rPr>
          <w:rFonts w:ascii="Times New Roman" w:eastAsia="Times New Roman" w:hAnsi="Times New Roman"/>
          <w:sz w:val="24"/>
          <w:szCs w:val="24"/>
          <w:lang w:eastAsia="tr-TR"/>
        </w:rPr>
        <w:t xml:space="preserve"> A.Ş. paylarında 1000 adet, 1:2 dönüşüm oranlı, satın alma hakkı veren Şubat 2014 vadeli varant için deltanın 0,5</w:t>
      </w:r>
      <w:r>
        <w:rPr>
          <w:rFonts w:ascii="Times New Roman" w:eastAsia="Times New Roman" w:hAnsi="Times New Roman"/>
          <w:sz w:val="24"/>
          <w:szCs w:val="24"/>
          <w:lang w:eastAsia="tr-TR"/>
        </w:rPr>
        <w:t xml:space="preserve"> ve DEF A.Ş. borsa kapanış fiyatının 2,59 TL</w:t>
      </w:r>
      <w:r w:rsidRPr="00BD2ED0">
        <w:rPr>
          <w:rFonts w:ascii="Times New Roman" w:eastAsia="Times New Roman" w:hAnsi="Times New Roman"/>
          <w:sz w:val="24"/>
          <w:szCs w:val="24"/>
          <w:lang w:eastAsia="tr-TR"/>
        </w:rPr>
        <w:t xml:space="preserve"> olduğu varsayımı altında hesaplama aşağıdaki şekilde yapılır.</w:t>
      </w:r>
    </w:p>
    <w:p w:rsidR="002D6087" w:rsidRPr="00BD2ED0" w:rsidRDefault="002D6087" w:rsidP="005845F8">
      <w:pPr>
        <w:shd w:val="clear" w:color="auto" w:fill="FFFFFF"/>
        <w:spacing w:before="75" w:after="45" w:line="255" w:lineRule="atLeast"/>
        <w:jc w:val="both"/>
        <w:rPr>
          <w:rFonts w:ascii="Times New Roman" w:eastAsia="Times New Roman" w:hAnsi="Times New Roman"/>
          <w:sz w:val="24"/>
          <w:szCs w:val="24"/>
          <w:lang w:eastAsia="tr-TR"/>
        </w:rPr>
      </w:pPr>
    </w:p>
    <w:p w:rsidR="002D6087" w:rsidRPr="00BD2ED0" w:rsidRDefault="002D6087" w:rsidP="005845F8">
      <w:pPr>
        <w:shd w:val="clear" w:color="auto" w:fill="FFFFFF"/>
        <w:spacing w:before="75" w:after="45" w:line="255" w:lineRule="atLeast"/>
        <w:jc w:val="both"/>
        <w:rPr>
          <w:rFonts w:ascii="Times New Roman" w:eastAsia="Times New Roman" w:hAnsi="Times New Roman"/>
          <w:sz w:val="24"/>
          <w:szCs w:val="24"/>
          <w:lang w:eastAsia="tr-TR"/>
        </w:rPr>
      </w:pPr>
      <w:r w:rsidRPr="00BD2ED0">
        <w:rPr>
          <w:rFonts w:ascii="Times New Roman" w:eastAsia="Times New Roman" w:hAnsi="Times New Roman"/>
          <w:sz w:val="24"/>
          <w:szCs w:val="24"/>
          <w:lang w:eastAsia="tr-TR"/>
        </w:rPr>
        <w:t xml:space="preserve">(1000*(1/(1/2))*2,59*0,5 = 2.590 TL)  </w:t>
      </w:r>
    </w:p>
    <w:p w:rsidR="002D6087" w:rsidRPr="00BD2ED0" w:rsidRDefault="002D6087" w:rsidP="005845F8">
      <w:pPr>
        <w:shd w:val="clear" w:color="auto" w:fill="FFFFFF"/>
        <w:spacing w:before="75" w:after="45" w:line="255" w:lineRule="atLeast"/>
        <w:jc w:val="both"/>
        <w:rPr>
          <w:rFonts w:ascii="Times New Roman" w:eastAsia="Times New Roman" w:hAnsi="Times New Roman"/>
          <w:sz w:val="24"/>
          <w:szCs w:val="24"/>
          <w:lang w:eastAsia="tr-TR"/>
        </w:rPr>
      </w:pPr>
    </w:p>
    <w:p w:rsidR="002D6087" w:rsidRPr="00BD2ED0" w:rsidRDefault="002D6087" w:rsidP="005845F8">
      <w:pPr>
        <w:shd w:val="clear" w:color="auto" w:fill="FFFFFF"/>
        <w:spacing w:before="75" w:after="45" w:line="255" w:lineRule="atLeast"/>
        <w:jc w:val="both"/>
        <w:rPr>
          <w:rFonts w:ascii="Times New Roman" w:eastAsia="Times New Roman" w:hAnsi="Times New Roman"/>
          <w:sz w:val="24"/>
          <w:szCs w:val="24"/>
          <w:lang w:eastAsia="tr-TR"/>
        </w:rPr>
      </w:pPr>
      <w:r w:rsidRPr="00BD2ED0">
        <w:rPr>
          <w:rFonts w:ascii="Times New Roman" w:eastAsia="Times New Roman" w:hAnsi="Times New Roman"/>
          <w:sz w:val="24"/>
          <w:szCs w:val="24"/>
          <w:lang w:eastAsia="tr-TR"/>
        </w:rPr>
        <w:t>12.12.2013 tarihinde, altın üzerine, 10.000 adet 10:1 dönüşüm oranlı, satın alma hakkı veren Şubat 2014 vadeli varant için deltanın 0,5 olduğu varsayımı altında hesaplama aşağıdaki şekilde yapılır.</w:t>
      </w:r>
    </w:p>
    <w:p w:rsidR="002D6087" w:rsidRPr="00BD2ED0" w:rsidRDefault="002D6087" w:rsidP="002D6087">
      <w:pPr>
        <w:shd w:val="clear" w:color="auto" w:fill="FFFFFF"/>
        <w:spacing w:before="75" w:after="45" w:line="255" w:lineRule="atLeast"/>
        <w:ind w:right="300"/>
        <w:jc w:val="both"/>
        <w:rPr>
          <w:rFonts w:ascii="Times New Roman" w:eastAsia="Times New Roman" w:hAnsi="Times New Roman"/>
          <w:sz w:val="24"/>
          <w:szCs w:val="24"/>
          <w:lang w:eastAsia="tr-TR"/>
        </w:rPr>
      </w:pPr>
    </w:p>
    <w:p w:rsidR="002D6087" w:rsidRPr="00BD2ED0" w:rsidRDefault="002D6087" w:rsidP="002D6087">
      <w:pPr>
        <w:shd w:val="clear" w:color="auto" w:fill="FFFFFF"/>
        <w:spacing w:before="75" w:after="45" w:line="255" w:lineRule="atLeast"/>
        <w:ind w:right="300"/>
        <w:jc w:val="both"/>
        <w:rPr>
          <w:rFonts w:ascii="Times New Roman" w:eastAsia="Times New Roman" w:hAnsi="Times New Roman"/>
          <w:sz w:val="24"/>
          <w:szCs w:val="24"/>
          <w:lang w:eastAsia="tr-TR"/>
        </w:rPr>
      </w:pPr>
      <w:r w:rsidRPr="00BD2ED0">
        <w:rPr>
          <w:rFonts w:ascii="Times New Roman" w:eastAsia="Times New Roman" w:hAnsi="Times New Roman"/>
          <w:sz w:val="24"/>
          <w:szCs w:val="24"/>
          <w:lang w:eastAsia="tr-TR"/>
        </w:rPr>
        <w:t>(10.000 * (1/10) * 81,757 * 0,5 = 40.878,50 TL)</w:t>
      </w:r>
    </w:p>
    <w:p w:rsidR="002D6087" w:rsidRPr="00BD2ED0" w:rsidRDefault="002D6087" w:rsidP="002D6087">
      <w:pPr>
        <w:shd w:val="clear" w:color="auto" w:fill="FFFFFF"/>
        <w:spacing w:before="75" w:after="45" w:line="255" w:lineRule="atLeast"/>
        <w:ind w:right="300"/>
        <w:jc w:val="both"/>
        <w:rPr>
          <w:rFonts w:ascii="Times New Roman" w:eastAsia="Times New Roman" w:hAnsi="Times New Roman"/>
          <w:sz w:val="24"/>
          <w:szCs w:val="24"/>
          <w:lang w:eastAsia="tr-TR"/>
        </w:rPr>
      </w:pPr>
    </w:p>
    <w:p w:rsidR="002D6087" w:rsidRPr="0082152F" w:rsidRDefault="002D6087" w:rsidP="002D6087">
      <w:pPr>
        <w:autoSpaceDE w:val="0"/>
        <w:autoSpaceDN w:val="0"/>
        <w:adjustRightInd w:val="0"/>
        <w:spacing w:after="0" w:line="240" w:lineRule="auto"/>
        <w:rPr>
          <w:rFonts w:ascii="Times New Roman" w:eastAsia="SymbolMT" w:hAnsi="Times New Roman" w:cs="Times New Roman"/>
          <w:b/>
          <w:sz w:val="24"/>
          <w:szCs w:val="24"/>
          <w:u w:val="single"/>
        </w:rPr>
      </w:pPr>
      <w:r w:rsidRPr="0082152F">
        <w:rPr>
          <w:rFonts w:ascii="Times New Roman" w:eastAsia="SymbolMT" w:hAnsi="Times New Roman" w:cs="Times New Roman"/>
          <w:b/>
          <w:sz w:val="24"/>
          <w:szCs w:val="24"/>
          <w:u w:val="single"/>
        </w:rPr>
        <w:t>Sertifika</w:t>
      </w:r>
    </w:p>
    <w:p w:rsidR="002D6087" w:rsidRPr="0082152F" w:rsidRDefault="002D6087" w:rsidP="002D6087">
      <w:pPr>
        <w:autoSpaceDE w:val="0"/>
        <w:autoSpaceDN w:val="0"/>
        <w:adjustRightInd w:val="0"/>
        <w:spacing w:after="0" w:line="240" w:lineRule="auto"/>
        <w:rPr>
          <w:rFonts w:ascii="Times New Roman" w:eastAsia="SymbolMT" w:hAnsi="Times New Roman" w:cs="Times New Roman"/>
          <w:b/>
          <w:sz w:val="24"/>
          <w:szCs w:val="24"/>
          <w:u w:val="single"/>
        </w:rPr>
      </w:pPr>
    </w:p>
    <w:p w:rsidR="002D6087" w:rsidRPr="00BD2ED0" w:rsidRDefault="002D6087" w:rsidP="002D6087">
      <w:pPr>
        <w:autoSpaceDE w:val="0"/>
        <w:autoSpaceDN w:val="0"/>
        <w:adjustRightInd w:val="0"/>
        <w:spacing w:after="0" w:line="240" w:lineRule="auto"/>
        <w:rPr>
          <w:rFonts w:ascii="Times New Roman" w:eastAsia="Times New Roman" w:hAnsi="Times New Roman"/>
          <w:sz w:val="24"/>
          <w:szCs w:val="24"/>
          <w:lang w:val="en-US" w:eastAsia="tr-TR"/>
        </w:rPr>
      </w:pPr>
      <w:r w:rsidRPr="008E2E38">
        <w:rPr>
          <w:rFonts w:ascii="Times New Roman" w:eastAsia="Times New Roman" w:hAnsi="Times New Roman"/>
          <w:sz w:val="24"/>
          <w:szCs w:val="24"/>
          <w:lang w:eastAsia="tr-TR"/>
        </w:rPr>
        <w:t xml:space="preserve">Bariyer </w:t>
      </w:r>
      <w:r>
        <w:rPr>
          <w:rFonts w:ascii="Times New Roman" w:eastAsia="Times New Roman" w:hAnsi="Times New Roman"/>
          <w:sz w:val="24"/>
          <w:szCs w:val="24"/>
          <w:lang w:eastAsia="tr-TR"/>
        </w:rPr>
        <w:t>içeren</w:t>
      </w:r>
      <w:r w:rsidR="00FB2B3C">
        <w:rPr>
          <w:rFonts w:ascii="Times New Roman" w:eastAsia="Times New Roman" w:hAnsi="Times New Roman"/>
          <w:sz w:val="24"/>
          <w:szCs w:val="24"/>
          <w:lang w:eastAsia="tr-TR"/>
        </w:rPr>
        <w:t xml:space="preserve"> </w:t>
      </w:r>
      <w:r w:rsidRPr="00163876">
        <w:rPr>
          <w:rFonts w:ascii="Times New Roman" w:eastAsia="Times New Roman" w:hAnsi="Times New Roman"/>
          <w:sz w:val="24"/>
          <w:szCs w:val="24"/>
          <w:lang w:eastAsia="tr-TR"/>
        </w:rPr>
        <w:t>sertifikalar</w:t>
      </w:r>
    </w:p>
    <w:p w:rsidR="002D6087" w:rsidRDefault="002D6087" w:rsidP="002D6087">
      <w:pPr>
        <w:jc w:val="both"/>
        <w:rPr>
          <w:rFonts w:ascii="Times New Roman" w:eastAsia="SymbolMT" w:hAnsi="Times New Roman" w:cs="Times New Roman"/>
          <w:sz w:val="24"/>
          <w:szCs w:val="24"/>
        </w:rPr>
      </w:pPr>
      <w:r w:rsidRPr="0082152F">
        <w:rPr>
          <w:rFonts w:ascii="Times New Roman" w:eastAsia="SymbolMT" w:hAnsi="Times New Roman" w:cs="Times New Roman"/>
          <w:sz w:val="24"/>
          <w:szCs w:val="24"/>
        </w:rPr>
        <w:t>Sertifika Pozisyonu= Sertifika Sayısı * (1/ Dönüşüm Oranı) * Dayanak Varlık veya Göstergenin Piyasa Fiyatı * Maksimum Delta</w:t>
      </w:r>
      <w:r>
        <w:rPr>
          <w:rStyle w:val="FootnoteReference"/>
          <w:rFonts w:ascii="Times New Roman" w:eastAsia="SymbolMT" w:hAnsi="Times New Roman" w:cs="Times New Roman"/>
          <w:sz w:val="24"/>
          <w:szCs w:val="24"/>
        </w:rPr>
        <w:footnoteReference w:id="12"/>
      </w:r>
    </w:p>
    <w:p w:rsidR="002D6087" w:rsidRPr="00106ADD" w:rsidRDefault="002D6087" w:rsidP="002D6087">
      <w:pPr>
        <w:autoSpaceDE w:val="0"/>
        <w:autoSpaceDN w:val="0"/>
        <w:adjustRightInd w:val="0"/>
        <w:spacing w:after="0" w:line="240" w:lineRule="auto"/>
        <w:rPr>
          <w:rFonts w:ascii="Times New Roman" w:eastAsia="SymbolMT" w:hAnsi="Times New Roman" w:cs="Times New Roman"/>
          <w:b/>
          <w:sz w:val="24"/>
          <w:szCs w:val="24"/>
          <w:u w:val="single"/>
        </w:rPr>
      </w:pPr>
      <w:r>
        <w:rPr>
          <w:rFonts w:ascii="Times New Roman" w:eastAsia="SymbolMT" w:hAnsi="Times New Roman" w:cs="Times New Roman"/>
          <w:b/>
          <w:sz w:val="24"/>
          <w:szCs w:val="24"/>
          <w:u w:val="single"/>
        </w:rPr>
        <w:t xml:space="preserve">Kredi Riskine Dayalı </w:t>
      </w:r>
      <w:r w:rsidR="00C7575C">
        <w:rPr>
          <w:rFonts w:ascii="Times New Roman" w:eastAsia="SymbolMT" w:hAnsi="Times New Roman" w:cs="Times New Roman"/>
          <w:b/>
          <w:sz w:val="24"/>
          <w:szCs w:val="24"/>
          <w:u w:val="single"/>
        </w:rPr>
        <w:t>Yatırım</w:t>
      </w:r>
      <w:r w:rsidRPr="00106ADD">
        <w:rPr>
          <w:rFonts w:ascii="Times New Roman" w:eastAsia="SymbolMT" w:hAnsi="Times New Roman" w:cs="Times New Roman"/>
          <w:b/>
          <w:sz w:val="24"/>
          <w:szCs w:val="24"/>
          <w:u w:val="single"/>
        </w:rPr>
        <w:t>Aracı</w:t>
      </w:r>
    </w:p>
    <w:p w:rsidR="002D6087" w:rsidRPr="00106ADD" w:rsidRDefault="002D6087" w:rsidP="002D6087">
      <w:pPr>
        <w:autoSpaceDE w:val="0"/>
        <w:autoSpaceDN w:val="0"/>
        <w:adjustRightInd w:val="0"/>
        <w:spacing w:after="0" w:line="240" w:lineRule="auto"/>
        <w:rPr>
          <w:rFonts w:ascii="Times New Roman" w:eastAsia="SymbolMT" w:hAnsi="Times New Roman" w:cs="Times New Roman"/>
          <w:sz w:val="24"/>
          <w:szCs w:val="24"/>
        </w:rPr>
      </w:pPr>
    </w:p>
    <w:p w:rsidR="002D6087" w:rsidRDefault="002D6087" w:rsidP="002D6087">
      <w:pPr>
        <w:autoSpaceDE w:val="0"/>
        <w:autoSpaceDN w:val="0"/>
        <w:adjustRightInd w:val="0"/>
        <w:spacing w:after="0" w:line="240" w:lineRule="auto"/>
        <w:rPr>
          <w:rFonts w:ascii="Times New Roman" w:eastAsia="SymbolMT" w:hAnsi="Times New Roman" w:cs="Times New Roman"/>
          <w:sz w:val="24"/>
          <w:szCs w:val="24"/>
        </w:rPr>
      </w:pPr>
      <w:r w:rsidRPr="00327953">
        <w:rPr>
          <w:rFonts w:ascii="Times New Roman" w:eastAsia="SymbolMT" w:hAnsi="Times New Roman" w:cs="Times New Roman"/>
          <w:sz w:val="24"/>
          <w:szCs w:val="24"/>
        </w:rPr>
        <w:t xml:space="preserve">Kredi Riskine Dayalı </w:t>
      </w:r>
      <w:r w:rsidR="00C7575C">
        <w:rPr>
          <w:rFonts w:ascii="Times New Roman" w:eastAsia="SymbolMT" w:hAnsi="Times New Roman" w:cs="Times New Roman"/>
          <w:sz w:val="24"/>
          <w:szCs w:val="24"/>
        </w:rPr>
        <w:t>Yatırım</w:t>
      </w:r>
      <w:r w:rsidR="00AC7EF8">
        <w:rPr>
          <w:rFonts w:ascii="Times New Roman" w:eastAsia="SymbolMT" w:hAnsi="Times New Roman" w:cs="Times New Roman"/>
          <w:sz w:val="24"/>
          <w:szCs w:val="24"/>
        </w:rPr>
        <w:t xml:space="preserve"> </w:t>
      </w:r>
      <w:r w:rsidRPr="00327953">
        <w:rPr>
          <w:rFonts w:ascii="Times New Roman" w:eastAsia="SymbolMT" w:hAnsi="Times New Roman" w:cs="Times New Roman"/>
          <w:sz w:val="24"/>
          <w:szCs w:val="24"/>
        </w:rPr>
        <w:t>Aracı</w:t>
      </w:r>
      <w:r w:rsidR="00AC7EF8">
        <w:rPr>
          <w:rFonts w:ascii="Times New Roman" w:eastAsia="SymbolMT" w:hAnsi="Times New Roman" w:cs="Times New Roman"/>
          <w:sz w:val="24"/>
          <w:szCs w:val="24"/>
        </w:rPr>
        <w:t xml:space="preserve"> </w:t>
      </w:r>
      <w:r w:rsidRPr="00106ADD">
        <w:rPr>
          <w:rFonts w:ascii="Times New Roman" w:eastAsia="SymbolMT" w:hAnsi="Times New Roman" w:cs="Times New Roman"/>
          <w:sz w:val="24"/>
          <w:szCs w:val="24"/>
        </w:rPr>
        <w:t>Pozisyonu=Referans varlığın piyasa fiyatı</w:t>
      </w:r>
    </w:p>
    <w:p w:rsidR="002D6087" w:rsidRDefault="002D6087" w:rsidP="002D6087">
      <w:pPr>
        <w:autoSpaceDE w:val="0"/>
        <w:autoSpaceDN w:val="0"/>
        <w:adjustRightInd w:val="0"/>
        <w:spacing w:after="0" w:line="240" w:lineRule="auto"/>
        <w:rPr>
          <w:rFonts w:ascii="Times New Roman" w:eastAsia="SymbolMT" w:hAnsi="Times New Roman" w:cs="Times New Roman"/>
          <w:sz w:val="24"/>
          <w:szCs w:val="24"/>
        </w:rPr>
      </w:pPr>
    </w:p>
    <w:p w:rsidR="002D6087" w:rsidRPr="003C0A07" w:rsidRDefault="002D6087" w:rsidP="002D6087">
      <w:pPr>
        <w:rPr>
          <w:rFonts w:ascii="Times New Roman" w:eastAsia="SymbolMT" w:hAnsi="Times New Roman" w:cs="Times New Roman"/>
          <w:b/>
          <w:sz w:val="24"/>
          <w:szCs w:val="24"/>
          <w:u w:val="single"/>
        </w:rPr>
      </w:pPr>
      <w:r w:rsidRPr="003C0A07">
        <w:rPr>
          <w:rFonts w:ascii="Times New Roman" w:eastAsia="SymbolMT" w:hAnsi="Times New Roman" w:cs="Times New Roman"/>
          <w:b/>
          <w:sz w:val="24"/>
          <w:szCs w:val="24"/>
          <w:u w:val="single"/>
        </w:rPr>
        <w:t xml:space="preserve">Borsa Dışı Araçlar için Örnekler </w:t>
      </w:r>
    </w:p>
    <w:p w:rsidR="002D6087" w:rsidRDefault="002D6087" w:rsidP="002D6087">
      <w:pPr>
        <w:rPr>
          <w:rFonts w:ascii="Times New Roman" w:eastAsia="SymbolMT" w:hAnsi="Times New Roman" w:cs="Times New Roman"/>
          <w:b/>
          <w:sz w:val="24"/>
          <w:szCs w:val="24"/>
          <w:u w:val="single"/>
        </w:rPr>
      </w:pPr>
      <w:r>
        <w:rPr>
          <w:rFonts w:ascii="Times New Roman" w:eastAsia="SymbolMT" w:hAnsi="Times New Roman" w:cs="Times New Roman"/>
          <w:b/>
          <w:sz w:val="24"/>
          <w:szCs w:val="24"/>
          <w:u w:val="single"/>
        </w:rPr>
        <w:t>Swap Sözleşmesi</w:t>
      </w:r>
    </w:p>
    <w:p w:rsidR="002D6087" w:rsidRDefault="002D6087" w:rsidP="002D6087">
      <w:pPr>
        <w:rPr>
          <w:rFonts w:ascii="Times New Roman" w:eastAsia="SymbolMT" w:hAnsi="Times New Roman" w:cs="Times New Roman"/>
          <w:sz w:val="24"/>
          <w:szCs w:val="24"/>
        </w:rPr>
      </w:pPr>
      <w:r w:rsidRPr="002C1704">
        <w:rPr>
          <w:rFonts w:ascii="Times New Roman" w:eastAsia="SymbolMT" w:hAnsi="Times New Roman" w:cs="Times New Roman"/>
          <w:sz w:val="24"/>
          <w:szCs w:val="24"/>
        </w:rPr>
        <w:t>Sabit ve Deği</w:t>
      </w:r>
      <w:r>
        <w:rPr>
          <w:rFonts w:ascii="Times New Roman" w:eastAsia="SymbolMT" w:hAnsi="Times New Roman" w:cs="Times New Roman"/>
          <w:sz w:val="24"/>
          <w:szCs w:val="24"/>
        </w:rPr>
        <w:t>ş</w:t>
      </w:r>
      <w:r w:rsidRPr="002C1704">
        <w:rPr>
          <w:rFonts w:ascii="Times New Roman" w:eastAsia="SymbolMT" w:hAnsi="Times New Roman" w:cs="Times New Roman"/>
          <w:sz w:val="24"/>
          <w:szCs w:val="24"/>
        </w:rPr>
        <w:t xml:space="preserve">ken Faiz </w:t>
      </w:r>
      <w:r>
        <w:rPr>
          <w:rFonts w:ascii="Times New Roman" w:eastAsia="SymbolMT" w:hAnsi="Times New Roman" w:cs="Times New Roman"/>
          <w:sz w:val="24"/>
          <w:szCs w:val="24"/>
        </w:rPr>
        <w:t>Swap</w:t>
      </w:r>
      <w:r w:rsidRPr="002C1704">
        <w:rPr>
          <w:rFonts w:ascii="Times New Roman" w:eastAsia="SymbolMT" w:hAnsi="Times New Roman" w:cs="Times New Roman"/>
          <w:sz w:val="24"/>
          <w:szCs w:val="24"/>
        </w:rPr>
        <w:t>ı ile</w:t>
      </w:r>
      <w:r>
        <w:rPr>
          <w:rFonts w:ascii="Times New Roman" w:eastAsia="SymbolMT" w:hAnsi="Times New Roman" w:cs="Times New Roman"/>
          <w:sz w:val="24"/>
          <w:szCs w:val="24"/>
        </w:rPr>
        <w:t xml:space="preserve"> Enflasyon Swap</w:t>
      </w:r>
      <w:r w:rsidRPr="002C1704">
        <w:rPr>
          <w:rFonts w:ascii="Times New Roman" w:eastAsia="SymbolMT" w:hAnsi="Times New Roman" w:cs="Times New Roman"/>
          <w:sz w:val="24"/>
          <w:szCs w:val="24"/>
        </w:rPr>
        <w:t>ı</w:t>
      </w:r>
    </w:p>
    <w:p w:rsidR="002D6087" w:rsidRDefault="002D6087" w:rsidP="002D6087">
      <w:pPr>
        <w:rPr>
          <w:rFonts w:ascii="Times New Roman" w:eastAsia="SymbolMT" w:hAnsi="Times New Roman" w:cs="Times New Roman"/>
          <w:sz w:val="24"/>
          <w:szCs w:val="24"/>
        </w:rPr>
      </w:pPr>
      <w:r>
        <w:rPr>
          <w:rFonts w:ascii="Times New Roman" w:eastAsia="SymbolMT" w:hAnsi="Times New Roman" w:cs="Times New Roman"/>
          <w:sz w:val="24"/>
          <w:szCs w:val="24"/>
        </w:rPr>
        <w:t>Swap pozisyonu=Dayanak varlığın piyasa değeri (Swapın sabit kısmının değeri de alınabilir)</w:t>
      </w:r>
    </w:p>
    <w:p w:rsidR="002D6087" w:rsidRDefault="002D6087" w:rsidP="002D6087">
      <w:pPr>
        <w:rPr>
          <w:rFonts w:ascii="Times New Roman" w:eastAsia="SymbolMT" w:hAnsi="Times New Roman" w:cs="Times New Roman"/>
          <w:sz w:val="24"/>
          <w:szCs w:val="24"/>
        </w:rPr>
      </w:pPr>
      <w:r>
        <w:rPr>
          <w:rFonts w:ascii="Times New Roman" w:eastAsia="SymbolMT" w:hAnsi="Times New Roman" w:cs="Times New Roman"/>
          <w:sz w:val="24"/>
          <w:szCs w:val="24"/>
        </w:rPr>
        <w:t>Kur Swapı</w:t>
      </w:r>
    </w:p>
    <w:p w:rsidR="002D6087" w:rsidRDefault="002D6087" w:rsidP="002D6087">
      <w:pPr>
        <w:rPr>
          <w:rFonts w:ascii="Times New Roman" w:eastAsia="SymbolMT" w:hAnsi="Times New Roman" w:cs="Times New Roman"/>
          <w:sz w:val="24"/>
          <w:szCs w:val="24"/>
        </w:rPr>
      </w:pPr>
      <w:r>
        <w:rPr>
          <w:rFonts w:ascii="Times New Roman" w:eastAsia="SymbolMT" w:hAnsi="Times New Roman" w:cs="Times New Roman"/>
          <w:sz w:val="24"/>
          <w:szCs w:val="24"/>
        </w:rPr>
        <w:t>Swap pozisyonu=Kur kısmının nosyonel değeri</w:t>
      </w:r>
    </w:p>
    <w:p w:rsidR="002D6087" w:rsidRDefault="002D6087" w:rsidP="002D6087">
      <w:pPr>
        <w:rPr>
          <w:rFonts w:ascii="Times New Roman" w:eastAsia="SymbolMT" w:hAnsi="Times New Roman" w:cs="Times New Roman"/>
          <w:b/>
          <w:sz w:val="24"/>
          <w:szCs w:val="24"/>
          <w:u w:val="single"/>
        </w:rPr>
      </w:pPr>
      <w:r>
        <w:rPr>
          <w:rFonts w:ascii="Times New Roman" w:eastAsia="SymbolMT" w:hAnsi="Times New Roman" w:cs="Times New Roman"/>
          <w:b/>
          <w:sz w:val="24"/>
          <w:szCs w:val="24"/>
          <w:u w:val="single"/>
        </w:rPr>
        <w:t>Vadeli İşlem Sözleşmesi (Forward)</w:t>
      </w:r>
    </w:p>
    <w:p w:rsidR="002D6087" w:rsidRDefault="002D6087" w:rsidP="002D6087">
      <w:pPr>
        <w:rPr>
          <w:rFonts w:ascii="Times New Roman" w:eastAsia="SymbolMT" w:hAnsi="Times New Roman" w:cs="Times New Roman"/>
          <w:sz w:val="24"/>
          <w:szCs w:val="24"/>
        </w:rPr>
      </w:pPr>
      <w:r w:rsidRPr="00ED5B16">
        <w:rPr>
          <w:rFonts w:ascii="Times New Roman" w:eastAsia="SymbolMT" w:hAnsi="Times New Roman" w:cs="Times New Roman"/>
          <w:sz w:val="24"/>
          <w:szCs w:val="24"/>
        </w:rPr>
        <w:t>Kur</w:t>
      </w:r>
      <w:r>
        <w:rPr>
          <w:rFonts w:ascii="Times New Roman" w:eastAsia="SymbolMT" w:hAnsi="Times New Roman" w:cs="Times New Roman"/>
          <w:sz w:val="24"/>
          <w:szCs w:val="24"/>
        </w:rPr>
        <w:t xml:space="preserve">a dayalı vadeli işlem </w:t>
      </w:r>
      <w:r w:rsidRPr="00ED5B16">
        <w:rPr>
          <w:rFonts w:ascii="Times New Roman" w:eastAsia="SymbolMT" w:hAnsi="Times New Roman" w:cs="Times New Roman"/>
          <w:sz w:val="24"/>
          <w:szCs w:val="24"/>
        </w:rPr>
        <w:t>pozisyonu=</w:t>
      </w:r>
      <w:r>
        <w:rPr>
          <w:rFonts w:ascii="Times New Roman" w:eastAsia="SymbolMT" w:hAnsi="Times New Roman" w:cs="Times New Roman"/>
          <w:sz w:val="24"/>
          <w:szCs w:val="24"/>
        </w:rPr>
        <w:t>Kur kısmının nosyonel değeri</w:t>
      </w:r>
    </w:p>
    <w:p w:rsidR="002D6087" w:rsidRDefault="002D6087" w:rsidP="002D6087">
      <w:pPr>
        <w:rPr>
          <w:rFonts w:ascii="Times New Roman" w:eastAsia="SymbolMT" w:hAnsi="Times New Roman" w:cs="Times New Roman"/>
          <w:sz w:val="24"/>
          <w:szCs w:val="24"/>
          <w:u w:val="single"/>
        </w:rPr>
      </w:pPr>
      <w:r w:rsidRPr="00ED5B16">
        <w:rPr>
          <w:rFonts w:ascii="Times New Roman" w:eastAsia="SymbolMT" w:hAnsi="Times New Roman" w:cs="Times New Roman"/>
          <w:sz w:val="24"/>
          <w:szCs w:val="24"/>
          <w:u w:val="single"/>
        </w:rPr>
        <w:t>Örnek:</w:t>
      </w:r>
    </w:p>
    <w:p w:rsidR="002D6087" w:rsidRDefault="002D6087" w:rsidP="002D6087">
      <w:pPr>
        <w:jc w:val="both"/>
        <w:rPr>
          <w:rFonts w:ascii="Times New Roman" w:eastAsia="SymbolMT" w:hAnsi="Times New Roman" w:cs="Times New Roman"/>
          <w:sz w:val="24"/>
          <w:szCs w:val="24"/>
        </w:rPr>
      </w:pPr>
      <w:r>
        <w:rPr>
          <w:rFonts w:ascii="Times New Roman" w:eastAsia="SymbolMT" w:hAnsi="Times New Roman" w:cs="Times New Roman"/>
          <w:sz w:val="24"/>
          <w:szCs w:val="24"/>
        </w:rPr>
        <w:t xml:space="preserve">20 kontrat Dolar/TL vadeli işlem kontratı alınmış (Her bir kontratın nosyonel büyüklüğü 1.000 Dolar’dır) ve 12.12.2013 tarihli Dolar/TL Kuru 2,04’tür. </w:t>
      </w:r>
    </w:p>
    <w:p w:rsidR="002D6087" w:rsidRDefault="002D6087" w:rsidP="002D6087">
      <w:pPr>
        <w:jc w:val="both"/>
        <w:rPr>
          <w:rFonts w:ascii="Times New Roman" w:eastAsia="SymbolMT" w:hAnsi="Times New Roman" w:cs="Times New Roman"/>
          <w:sz w:val="24"/>
          <w:szCs w:val="24"/>
        </w:rPr>
      </w:pPr>
      <w:r>
        <w:rPr>
          <w:rFonts w:ascii="Times New Roman" w:eastAsia="SymbolMT" w:hAnsi="Times New Roman" w:cs="Times New Roman"/>
          <w:sz w:val="24"/>
          <w:szCs w:val="24"/>
        </w:rPr>
        <w:t>Kur vadeli işlem pozisyonu=20*1.000*2,04=40.800 TL</w:t>
      </w:r>
    </w:p>
    <w:p w:rsidR="007E2D49" w:rsidRPr="0063773C" w:rsidRDefault="007E2D49" w:rsidP="007E2D49">
      <w:pPr>
        <w:rPr>
          <w:rFonts w:ascii="Times New Roman" w:eastAsia="SymbolMT" w:hAnsi="Times New Roman" w:cs="Times New Roman"/>
          <w:b/>
          <w:color w:val="FF0000"/>
          <w:sz w:val="24"/>
          <w:szCs w:val="24"/>
          <w:u w:val="single"/>
        </w:rPr>
      </w:pPr>
      <w:r w:rsidRPr="003C0A07">
        <w:rPr>
          <w:rFonts w:ascii="Times New Roman" w:eastAsia="SymbolMT" w:hAnsi="Times New Roman" w:cs="Times New Roman"/>
          <w:b/>
          <w:sz w:val="24"/>
          <w:szCs w:val="24"/>
          <w:u w:val="single"/>
        </w:rPr>
        <w:t xml:space="preserve">İleri Valörlü Tahvil ve Bono İşlemleri için Örnek </w:t>
      </w:r>
    </w:p>
    <w:p w:rsidR="007E2D49" w:rsidRPr="007E2D49" w:rsidRDefault="007E2D49" w:rsidP="007E2D49">
      <w:pPr>
        <w:pStyle w:val="PlainText"/>
        <w:rPr>
          <w:rFonts w:ascii="Times New Roman" w:eastAsia="SymbolMT" w:hAnsi="Times New Roman" w:cs="Times New Roman"/>
          <w:sz w:val="24"/>
          <w:szCs w:val="24"/>
        </w:rPr>
      </w:pPr>
      <w:r w:rsidRPr="007E2D49">
        <w:rPr>
          <w:rFonts w:ascii="Times New Roman" w:eastAsia="SymbolMT" w:hAnsi="Times New Roman" w:cs="Times New Roman"/>
          <w:sz w:val="24"/>
          <w:szCs w:val="24"/>
        </w:rPr>
        <w:t>İleri valörlü tahvil işlemi pozisyonu=Nominal büyüklük*Piyasa değeri</w:t>
      </w:r>
    </w:p>
    <w:p w:rsidR="007E2D49" w:rsidRPr="007E2D49" w:rsidRDefault="007E2D49" w:rsidP="005845F8">
      <w:pPr>
        <w:pStyle w:val="PlainText"/>
        <w:jc w:val="both"/>
        <w:rPr>
          <w:rFonts w:ascii="Times New Roman" w:eastAsia="SymbolMT" w:hAnsi="Times New Roman" w:cs="Times New Roman"/>
          <w:sz w:val="24"/>
          <w:szCs w:val="24"/>
        </w:rPr>
      </w:pPr>
    </w:p>
    <w:p w:rsidR="007E2D49" w:rsidRPr="007E2D49" w:rsidRDefault="007E2D49" w:rsidP="005845F8">
      <w:pPr>
        <w:pStyle w:val="PlainText"/>
        <w:jc w:val="both"/>
        <w:rPr>
          <w:rFonts w:ascii="Times New Roman" w:eastAsia="SymbolMT" w:hAnsi="Times New Roman" w:cs="Times New Roman"/>
          <w:sz w:val="24"/>
          <w:szCs w:val="24"/>
        </w:rPr>
      </w:pPr>
      <w:r w:rsidRPr="007E2D49">
        <w:rPr>
          <w:rFonts w:ascii="Times New Roman" w:eastAsia="SymbolMT" w:hAnsi="Times New Roman" w:cs="Times New Roman"/>
          <w:sz w:val="24"/>
          <w:szCs w:val="24"/>
        </w:rPr>
        <w:t>12.12.2013 tarihinde valör tarihi 18.12.2013 olan TRT081106T14 kodlu tahvilde 100.000 TL nominal değerli alım işlemi gerçekleştiriliyor. Tahvilin bugünkü piyasa değeri</w:t>
      </w:r>
      <w:r w:rsidR="009C0766">
        <w:rPr>
          <w:rFonts w:ascii="Times New Roman" w:eastAsia="SymbolMT" w:hAnsi="Times New Roman" w:cs="Times New Roman"/>
          <w:sz w:val="24"/>
          <w:szCs w:val="24"/>
        </w:rPr>
        <w:t>nin</w:t>
      </w:r>
      <w:r w:rsidRPr="007E2D49">
        <w:rPr>
          <w:rFonts w:ascii="Times New Roman" w:eastAsia="SymbolMT" w:hAnsi="Times New Roman" w:cs="Times New Roman"/>
          <w:sz w:val="24"/>
          <w:szCs w:val="24"/>
        </w:rPr>
        <w:t xml:space="preserve"> 76,5 TL olduğu varsayım</w:t>
      </w:r>
      <w:r w:rsidR="009C0766">
        <w:rPr>
          <w:rFonts w:ascii="Times New Roman" w:eastAsia="SymbolMT" w:hAnsi="Times New Roman" w:cs="Times New Roman"/>
          <w:sz w:val="24"/>
          <w:szCs w:val="24"/>
        </w:rPr>
        <w:t>ı</w:t>
      </w:r>
      <w:r w:rsidRPr="007E2D49">
        <w:rPr>
          <w:rFonts w:ascii="Times New Roman" w:eastAsia="SymbolMT" w:hAnsi="Times New Roman" w:cs="Times New Roman"/>
          <w:sz w:val="24"/>
          <w:szCs w:val="24"/>
        </w:rPr>
        <w:t xml:space="preserve"> altında hesaplama aşağıdaki şekilde yapılır.</w:t>
      </w:r>
    </w:p>
    <w:p w:rsidR="007E2D49" w:rsidRPr="007E2D49" w:rsidRDefault="007E2D49" w:rsidP="007E2D49">
      <w:pPr>
        <w:pStyle w:val="PlainText"/>
        <w:rPr>
          <w:rFonts w:ascii="Times New Roman" w:eastAsia="SymbolMT" w:hAnsi="Times New Roman" w:cs="Times New Roman"/>
          <w:sz w:val="24"/>
          <w:szCs w:val="24"/>
        </w:rPr>
      </w:pPr>
    </w:p>
    <w:p w:rsidR="007E2D49" w:rsidRPr="007E2D49" w:rsidRDefault="007E2D49" w:rsidP="007E2D49">
      <w:pPr>
        <w:pStyle w:val="PlainText"/>
        <w:rPr>
          <w:rFonts w:ascii="Times New Roman" w:eastAsia="SymbolMT" w:hAnsi="Times New Roman" w:cs="Times New Roman"/>
          <w:sz w:val="24"/>
          <w:szCs w:val="24"/>
        </w:rPr>
      </w:pPr>
      <w:r w:rsidRPr="007E2D49">
        <w:rPr>
          <w:rFonts w:ascii="Times New Roman" w:eastAsia="SymbolMT" w:hAnsi="Times New Roman" w:cs="Times New Roman"/>
          <w:sz w:val="24"/>
          <w:szCs w:val="24"/>
        </w:rPr>
        <w:t>100.000*76,5=7.650.000 TL</w:t>
      </w:r>
    </w:p>
    <w:p w:rsidR="002D6087" w:rsidRPr="00106ADD" w:rsidRDefault="002D6087" w:rsidP="002D6087">
      <w:pPr>
        <w:autoSpaceDE w:val="0"/>
        <w:autoSpaceDN w:val="0"/>
        <w:adjustRightInd w:val="0"/>
        <w:spacing w:after="0" w:line="240" w:lineRule="auto"/>
        <w:rPr>
          <w:rFonts w:ascii="Times New Roman" w:eastAsia="SymbolMT" w:hAnsi="Times New Roman" w:cs="Times New Roman"/>
          <w:sz w:val="24"/>
          <w:szCs w:val="24"/>
        </w:rPr>
      </w:pPr>
    </w:p>
    <w:p w:rsidR="002D6087" w:rsidRDefault="002D6087" w:rsidP="003C0A07">
      <w:pPr>
        <w:pStyle w:val="Heading3"/>
        <w:spacing w:after="240"/>
      </w:pPr>
      <w:bookmarkStart w:id="236" w:name="_Toc130312600"/>
      <w:bookmarkStart w:id="237" w:name="_Toc130312733"/>
      <w:r>
        <w:t xml:space="preserve">7.5.3. </w:t>
      </w:r>
      <w:r w:rsidRPr="006A1B34">
        <w:t>Netleştirme</w:t>
      </w:r>
      <w:r>
        <w:t xml:space="preserve"> Esasları</w:t>
      </w:r>
      <w:bookmarkEnd w:id="236"/>
      <w:bookmarkEnd w:id="237"/>
    </w:p>
    <w:p w:rsidR="002D6087" w:rsidRPr="00BD2ED0" w:rsidRDefault="00E776F6" w:rsidP="003C0A07">
      <w:pPr>
        <w:autoSpaceDE w:val="0"/>
        <w:autoSpaceDN w:val="0"/>
        <w:adjustRightInd w:val="0"/>
        <w:ind w:firstLine="709"/>
        <w:jc w:val="both"/>
        <w:rPr>
          <w:rFonts w:ascii="CenturySchoolbook-Bold" w:hAnsi="CenturySchoolbook-Bold" w:cs="CenturySchoolbook-Bold"/>
          <w:bCs/>
          <w:sz w:val="24"/>
          <w:szCs w:val="20"/>
        </w:rPr>
      </w:pPr>
      <w:r w:rsidRPr="00BD2ED0">
        <w:rPr>
          <w:rFonts w:ascii="CenturySchoolbook-Bold" w:hAnsi="CenturySchoolbook-Bold" w:cs="CenturySchoolbook-Bold"/>
          <w:bCs/>
          <w:sz w:val="24"/>
          <w:szCs w:val="20"/>
        </w:rPr>
        <w:t>Açık pozisyon hesaplama</w:t>
      </w:r>
      <w:r>
        <w:rPr>
          <w:rFonts w:ascii="CenturySchoolbook-Bold" w:hAnsi="CenturySchoolbook-Bold" w:cs="CenturySchoolbook-Bold"/>
          <w:bCs/>
          <w:sz w:val="24"/>
          <w:szCs w:val="20"/>
        </w:rPr>
        <w:t>s</w:t>
      </w:r>
      <w:r w:rsidRPr="00BD2ED0">
        <w:rPr>
          <w:rFonts w:ascii="CenturySchoolbook-Bold" w:hAnsi="CenturySchoolbook-Bold" w:cs="CenturySchoolbook-Bold"/>
          <w:bCs/>
          <w:sz w:val="24"/>
          <w:szCs w:val="20"/>
        </w:rPr>
        <w:t>ında</w:t>
      </w:r>
      <w:r>
        <w:rPr>
          <w:rFonts w:ascii="CenturySchoolbook-Bold" w:hAnsi="CenturySchoolbook-Bold" w:cs="CenturySchoolbook-Bold"/>
          <w:bCs/>
          <w:sz w:val="24"/>
          <w:szCs w:val="20"/>
        </w:rPr>
        <w:t>, r</w:t>
      </w:r>
      <w:r w:rsidR="002D6087" w:rsidRPr="00BD2ED0">
        <w:rPr>
          <w:rFonts w:ascii="CenturySchoolbook-Bold" w:hAnsi="CenturySchoolbook-Bold" w:cs="CenturySchoolbook-Bold"/>
          <w:bCs/>
          <w:sz w:val="24"/>
          <w:szCs w:val="20"/>
        </w:rPr>
        <w:t xml:space="preserve">iskin azaltılması amacıyla spot piyasada alınan pozisyonlar ile dayanak varlığı </w:t>
      </w:r>
      <w:r w:rsidR="002D6087">
        <w:rPr>
          <w:rFonts w:ascii="CenturySchoolbook-Bold" w:hAnsi="CenturySchoolbook-Bold" w:cs="CenturySchoolbook-Bold"/>
          <w:bCs/>
          <w:sz w:val="24"/>
          <w:szCs w:val="20"/>
        </w:rPr>
        <w:t xml:space="preserve">birebir </w:t>
      </w:r>
      <w:r w:rsidR="002D6087" w:rsidRPr="00BD2ED0">
        <w:rPr>
          <w:rFonts w:ascii="CenturySchoolbook-Bold" w:hAnsi="CenturySchoolbook-Bold" w:cs="CenturySchoolbook-Bold"/>
          <w:bCs/>
          <w:sz w:val="24"/>
          <w:szCs w:val="20"/>
        </w:rPr>
        <w:t>aynı olan kaldıraç</w:t>
      </w:r>
      <w:r w:rsidR="002D6087">
        <w:rPr>
          <w:rFonts w:ascii="CenturySchoolbook-Bold" w:hAnsi="CenturySchoolbook-Bold" w:cs="CenturySchoolbook-Bold"/>
          <w:bCs/>
          <w:sz w:val="24"/>
          <w:szCs w:val="20"/>
        </w:rPr>
        <w:t xml:space="preserve"> yaratan</w:t>
      </w:r>
      <w:r w:rsidR="002D6087" w:rsidRPr="00BD2ED0">
        <w:rPr>
          <w:rFonts w:ascii="CenturySchoolbook-Bold" w:hAnsi="CenturySchoolbook-Bold" w:cs="CenturySchoolbook-Bold"/>
          <w:bCs/>
          <w:sz w:val="24"/>
          <w:szCs w:val="20"/>
        </w:rPr>
        <w:t xml:space="preserve"> işlemlerden kaynaklanan pozisyonlar netleştirilebilir. </w:t>
      </w:r>
    </w:p>
    <w:p w:rsidR="002D6087" w:rsidRDefault="002D6087" w:rsidP="003C0A07">
      <w:pPr>
        <w:autoSpaceDE w:val="0"/>
        <w:autoSpaceDN w:val="0"/>
        <w:adjustRightInd w:val="0"/>
        <w:spacing w:after="0" w:line="240" w:lineRule="auto"/>
        <w:ind w:firstLine="709"/>
        <w:rPr>
          <w:rFonts w:ascii="CenturySchoolbook" w:hAnsi="CenturySchoolbook" w:cs="CenturySchoolbook"/>
          <w:sz w:val="24"/>
          <w:szCs w:val="20"/>
        </w:rPr>
      </w:pPr>
      <w:r>
        <w:rPr>
          <w:rFonts w:ascii="CenturySchoolbook" w:hAnsi="CenturySchoolbook" w:cs="CenturySchoolbook"/>
          <w:sz w:val="24"/>
          <w:szCs w:val="20"/>
        </w:rPr>
        <w:t>Bu kapsamda;</w:t>
      </w:r>
    </w:p>
    <w:p w:rsidR="002D6087" w:rsidRPr="00BD2ED0" w:rsidRDefault="002D6087" w:rsidP="0006161B">
      <w:pPr>
        <w:pStyle w:val="ListParagraph"/>
        <w:numPr>
          <w:ilvl w:val="0"/>
          <w:numId w:val="49"/>
        </w:numPr>
        <w:autoSpaceDE w:val="0"/>
        <w:autoSpaceDN w:val="0"/>
        <w:adjustRightInd w:val="0"/>
        <w:spacing w:after="0" w:line="240" w:lineRule="auto"/>
        <w:jc w:val="both"/>
        <w:rPr>
          <w:rFonts w:ascii="CenturySchoolbook" w:hAnsi="CenturySchoolbook" w:cs="CenturySchoolbook"/>
          <w:sz w:val="24"/>
          <w:szCs w:val="20"/>
        </w:rPr>
      </w:pPr>
      <w:r>
        <w:rPr>
          <w:rFonts w:ascii="CenturySchoolbook" w:hAnsi="CenturySchoolbook" w:cs="CenturySchoolbook"/>
          <w:sz w:val="24"/>
          <w:szCs w:val="20"/>
        </w:rPr>
        <w:t xml:space="preserve">Vadesi dikkate alınmaksızın, dayanak varlığı birebir aynı olan kaldıraç yaratan işlemlerden kaynaklanan pozisyonlar arasında netleştirme yapılabilir.  </w:t>
      </w:r>
    </w:p>
    <w:p w:rsidR="002D6087" w:rsidRDefault="002D6087" w:rsidP="0006161B">
      <w:pPr>
        <w:pStyle w:val="ListParagraph"/>
        <w:numPr>
          <w:ilvl w:val="0"/>
          <w:numId w:val="49"/>
        </w:numPr>
        <w:autoSpaceDE w:val="0"/>
        <w:autoSpaceDN w:val="0"/>
        <w:adjustRightInd w:val="0"/>
        <w:spacing w:after="0" w:line="240" w:lineRule="auto"/>
        <w:jc w:val="both"/>
        <w:rPr>
          <w:rFonts w:ascii="CenturySchoolbook" w:hAnsi="CenturySchoolbook" w:cs="CenturySchoolbook"/>
          <w:sz w:val="24"/>
          <w:szCs w:val="20"/>
        </w:rPr>
      </w:pPr>
      <w:r>
        <w:rPr>
          <w:rFonts w:ascii="CenturySchoolbook" w:hAnsi="CenturySchoolbook" w:cs="CenturySchoolbook"/>
          <w:sz w:val="24"/>
          <w:szCs w:val="20"/>
        </w:rPr>
        <w:t xml:space="preserve">Kaldıraç yaratan işlemlere ilişkin pozisyonlar ile bunların dayanak varlıklarının spot piyasadaki pozisyonları arasında netleştirme yapılabilir.   </w:t>
      </w:r>
    </w:p>
    <w:p w:rsidR="002D6087" w:rsidRDefault="002D6087" w:rsidP="002D6087">
      <w:pPr>
        <w:autoSpaceDE w:val="0"/>
        <w:autoSpaceDN w:val="0"/>
        <w:adjustRightInd w:val="0"/>
        <w:spacing w:after="0" w:line="240" w:lineRule="auto"/>
        <w:jc w:val="both"/>
        <w:rPr>
          <w:rFonts w:ascii="CenturySchoolbook" w:hAnsi="CenturySchoolbook" w:cs="CenturySchoolbook"/>
          <w:sz w:val="24"/>
          <w:szCs w:val="20"/>
        </w:rPr>
      </w:pPr>
    </w:p>
    <w:p w:rsidR="002D6087" w:rsidRPr="006A1B34" w:rsidRDefault="002D6087" w:rsidP="002D6087">
      <w:pPr>
        <w:autoSpaceDE w:val="0"/>
        <w:autoSpaceDN w:val="0"/>
        <w:adjustRightInd w:val="0"/>
        <w:spacing w:after="0" w:line="240" w:lineRule="auto"/>
        <w:jc w:val="both"/>
        <w:rPr>
          <w:rFonts w:ascii="CenturySchoolbook" w:hAnsi="CenturySchoolbook" w:cs="CenturySchoolbook"/>
          <w:sz w:val="24"/>
          <w:szCs w:val="20"/>
          <w:u w:val="single"/>
        </w:rPr>
      </w:pPr>
      <w:r w:rsidRPr="006A1B34">
        <w:rPr>
          <w:rFonts w:ascii="CenturySchoolbook" w:hAnsi="CenturySchoolbook" w:cs="CenturySchoolbook"/>
          <w:sz w:val="24"/>
          <w:szCs w:val="20"/>
          <w:u w:val="single"/>
        </w:rPr>
        <w:t>Örnek Hesaplama</w:t>
      </w:r>
    </w:p>
    <w:p w:rsidR="002D6087" w:rsidRDefault="002D6087" w:rsidP="002D6087">
      <w:pPr>
        <w:jc w:val="both"/>
        <w:rPr>
          <w:rFonts w:ascii="CenturySchoolbook" w:hAnsi="CenturySchoolbook" w:cs="CenturySchoolbook"/>
          <w:sz w:val="24"/>
          <w:szCs w:val="20"/>
        </w:rPr>
      </w:pPr>
      <w:r w:rsidRPr="006A1B34">
        <w:rPr>
          <w:rFonts w:ascii="CenturySchoolbook" w:hAnsi="CenturySchoolbook" w:cs="CenturySchoolbook"/>
          <w:sz w:val="24"/>
          <w:szCs w:val="20"/>
        </w:rPr>
        <w:t>Fon portföyünde</w:t>
      </w:r>
      <w:r>
        <w:rPr>
          <w:rFonts w:ascii="CenturySchoolbook" w:hAnsi="CenturySchoolbook" w:cs="CenturySchoolbook"/>
          <w:sz w:val="24"/>
          <w:szCs w:val="20"/>
        </w:rPr>
        <w:t xml:space="preserve"> aşağıdaki sermaye piyasası araçlarının yer aldığı varsayılmıştır:</w:t>
      </w:r>
    </w:p>
    <w:p w:rsidR="002D6087" w:rsidRDefault="002D6087" w:rsidP="003C0A07">
      <w:pPr>
        <w:autoSpaceDE w:val="0"/>
        <w:autoSpaceDN w:val="0"/>
        <w:adjustRightInd w:val="0"/>
        <w:spacing w:after="0" w:line="240" w:lineRule="auto"/>
        <w:ind w:firstLine="708"/>
        <w:jc w:val="both"/>
        <w:rPr>
          <w:rFonts w:ascii="CenturySchoolbook" w:hAnsi="CenturySchoolbook" w:cs="CenturySchoolbook"/>
          <w:sz w:val="24"/>
          <w:szCs w:val="20"/>
        </w:rPr>
      </w:pPr>
      <w:r>
        <w:rPr>
          <w:rFonts w:ascii="CenturySchoolbook" w:hAnsi="CenturySchoolbook" w:cs="CenturySchoolbook"/>
          <w:sz w:val="24"/>
          <w:szCs w:val="20"/>
        </w:rPr>
        <w:t>-10 adet BIST30 endeksinde yer alan ve piyasa değeri toplamı 100 TL olan XYZ A.Ş. ortaklık payı,</w:t>
      </w:r>
    </w:p>
    <w:p w:rsidR="002D6087" w:rsidRDefault="002D6087" w:rsidP="002D6087">
      <w:pPr>
        <w:autoSpaceDE w:val="0"/>
        <w:autoSpaceDN w:val="0"/>
        <w:adjustRightInd w:val="0"/>
        <w:spacing w:after="0" w:line="240" w:lineRule="auto"/>
        <w:ind w:firstLine="708"/>
        <w:rPr>
          <w:rFonts w:ascii="CenturySchoolbook" w:hAnsi="CenturySchoolbook" w:cs="CenturySchoolbook"/>
          <w:sz w:val="24"/>
          <w:szCs w:val="20"/>
        </w:rPr>
      </w:pPr>
    </w:p>
    <w:p w:rsidR="002D6087" w:rsidRDefault="002D6087" w:rsidP="002D6087">
      <w:pPr>
        <w:ind w:firstLine="708"/>
        <w:jc w:val="both"/>
        <w:rPr>
          <w:rFonts w:ascii="CenturySchoolbook" w:hAnsi="CenturySchoolbook" w:cs="CenturySchoolbook"/>
          <w:sz w:val="24"/>
          <w:szCs w:val="20"/>
        </w:rPr>
      </w:pPr>
      <w:r>
        <w:rPr>
          <w:rFonts w:ascii="CenturySchoolbook" w:hAnsi="CenturySchoolbook" w:cs="CenturySchoolbook"/>
          <w:sz w:val="24"/>
          <w:szCs w:val="20"/>
        </w:rPr>
        <w:t>- Dayanak varlığı XYZ A.Ş. payları olan ve -20 TL kısa pozisyon yaratan vadeli işlem sözleşmesi,</w:t>
      </w:r>
    </w:p>
    <w:p w:rsidR="002D6087" w:rsidRDefault="002D6087" w:rsidP="002D6087">
      <w:pPr>
        <w:ind w:firstLine="708"/>
        <w:jc w:val="both"/>
        <w:rPr>
          <w:rFonts w:ascii="CenturySchoolbook" w:hAnsi="CenturySchoolbook" w:cs="CenturySchoolbook"/>
          <w:sz w:val="24"/>
          <w:szCs w:val="20"/>
        </w:rPr>
      </w:pPr>
      <w:r>
        <w:rPr>
          <w:rFonts w:ascii="CenturySchoolbook" w:hAnsi="CenturySchoolbook" w:cs="CenturySchoolbook"/>
          <w:sz w:val="24"/>
          <w:szCs w:val="20"/>
        </w:rPr>
        <w:t>- Dayanak varlığı BİST30 endeksi olan ve -10 TL kısa pozisyon yaratan vadeli işlem sözleşmesi,</w:t>
      </w:r>
    </w:p>
    <w:p w:rsidR="002D6087" w:rsidRDefault="002D6087" w:rsidP="002D6087">
      <w:pPr>
        <w:ind w:firstLine="708"/>
        <w:jc w:val="both"/>
        <w:rPr>
          <w:rFonts w:ascii="CenturySchoolbook" w:hAnsi="CenturySchoolbook" w:cs="CenturySchoolbook"/>
          <w:sz w:val="24"/>
          <w:szCs w:val="20"/>
        </w:rPr>
      </w:pPr>
      <w:r>
        <w:rPr>
          <w:rFonts w:ascii="CenturySchoolbook" w:hAnsi="CenturySchoolbook" w:cs="CenturySchoolbook"/>
          <w:sz w:val="24"/>
          <w:szCs w:val="20"/>
        </w:rPr>
        <w:t xml:space="preserve">-Dayanak varlığı KLM A.Ş. payları olan, 30 TL uzun pozisyon yaratan ve vadesi 3 ay olan vadeli işlem sözleşmesi, </w:t>
      </w:r>
    </w:p>
    <w:p w:rsidR="002D6087" w:rsidRDefault="002D6087" w:rsidP="002D6087">
      <w:pPr>
        <w:ind w:firstLine="708"/>
        <w:jc w:val="both"/>
        <w:rPr>
          <w:rFonts w:ascii="CenturySchoolbook" w:hAnsi="CenturySchoolbook" w:cs="CenturySchoolbook"/>
          <w:sz w:val="24"/>
          <w:szCs w:val="20"/>
        </w:rPr>
      </w:pPr>
      <w:r>
        <w:rPr>
          <w:rFonts w:ascii="CenturySchoolbook" w:hAnsi="CenturySchoolbook" w:cs="CenturySchoolbook"/>
          <w:sz w:val="24"/>
          <w:szCs w:val="20"/>
        </w:rPr>
        <w:t>- Dayanak varlığı KLM A.Ş. payları olan, -10 TL kısa pozisyon yaratan ve vadesi 6 ay olan varant.</w:t>
      </w:r>
    </w:p>
    <w:p w:rsidR="002D6087" w:rsidRDefault="002D6087" w:rsidP="002D6087">
      <w:pPr>
        <w:jc w:val="both"/>
        <w:rPr>
          <w:rFonts w:ascii="CenturySchoolbook" w:hAnsi="CenturySchoolbook" w:cs="CenturySchoolbook"/>
          <w:sz w:val="24"/>
          <w:szCs w:val="20"/>
        </w:rPr>
      </w:pPr>
      <w:r>
        <w:rPr>
          <w:rFonts w:ascii="Times New Roman" w:hAnsi="Times New Roman" w:cs="Times New Roman"/>
          <w:sz w:val="24"/>
          <w:szCs w:val="20"/>
        </w:rPr>
        <w:t>→</w:t>
      </w:r>
      <w:r w:rsidRPr="00F375F1">
        <w:rPr>
          <w:rFonts w:ascii="CenturySchoolbook" w:hAnsi="CenturySchoolbook" w:cs="CenturySchoolbook"/>
          <w:b/>
          <w:sz w:val="24"/>
          <w:szCs w:val="20"/>
        </w:rPr>
        <w:t>Netleştirme yapılmadan önce açık pozisyon tutarı 70 TL’dir.  (20+10+30+10=70TL)</w:t>
      </w:r>
    </w:p>
    <w:p w:rsidR="002D6087" w:rsidRDefault="002D6087" w:rsidP="002D6087">
      <w:pPr>
        <w:ind w:firstLine="708"/>
        <w:jc w:val="both"/>
        <w:rPr>
          <w:rFonts w:ascii="CenturySchoolbook" w:hAnsi="CenturySchoolbook" w:cs="CenturySchoolbook"/>
          <w:sz w:val="24"/>
          <w:szCs w:val="20"/>
        </w:rPr>
      </w:pPr>
      <w:r>
        <w:rPr>
          <w:rFonts w:ascii="CenturySchoolbook" w:hAnsi="CenturySchoolbook" w:cs="CenturySchoolbook"/>
          <w:sz w:val="24"/>
          <w:szCs w:val="20"/>
        </w:rPr>
        <w:t>- XYZ A.Ş. paylarına dayalı vadeli işlem sözleşmesi : -20</w:t>
      </w:r>
    </w:p>
    <w:p w:rsidR="002D6087" w:rsidRDefault="002D6087" w:rsidP="002D6087">
      <w:pPr>
        <w:ind w:firstLine="708"/>
        <w:jc w:val="both"/>
        <w:rPr>
          <w:rFonts w:ascii="CenturySchoolbook" w:hAnsi="CenturySchoolbook" w:cs="CenturySchoolbook"/>
          <w:sz w:val="24"/>
          <w:szCs w:val="20"/>
        </w:rPr>
      </w:pPr>
      <w:r>
        <w:rPr>
          <w:rFonts w:ascii="CenturySchoolbook" w:hAnsi="CenturySchoolbook" w:cs="CenturySchoolbook"/>
          <w:sz w:val="24"/>
          <w:szCs w:val="20"/>
        </w:rPr>
        <w:t>- BİST30 endeksine dayalı vadeli işlem sözleşmesi: -10</w:t>
      </w:r>
    </w:p>
    <w:p w:rsidR="002D6087" w:rsidRDefault="002D6087" w:rsidP="002D6087">
      <w:pPr>
        <w:ind w:firstLine="708"/>
        <w:jc w:val="both"/>
        <w:rPr>
          <w:rFonts w:ascii="CenturySchoolbook" w:hAnsi="CenturySchoolbook" w:cs="CenturySchoolbook"/>
          <w:sz w:val="24"/>
          <w:szCs w:val="20"/>
        </w:rPr>
      </w:pPr>
      <w:r>
        <w:rPr>
          <w:rFonts w:ascii="CenturySchoolbook" w:hAnsi="CenturySchoolbook" w:cs="CenturySchoolbook"/>
          <w:sz w:val="24"/>
          <w:szCs w:val="20"/>
        </w:rPr>
        <w:t>- KLM A.Ş. paylarına dayalı vadesi 3 ay olan vadeli işlem sözleşmesi: 30</w:t>
      </w:r>
    </w:p>
    <w:p w:rsidR="002D6087" w:rsidRDefault="002D6087" w:rsidP="002D6087">
      <w:pPr>
        <w:ind w:firstLine="708"/>
        <w:jc w:val="both"/>
        <w:rPr>
          <w:rFonts w:ascii="CenturySchoolbook" w:hAnsi="CenturySchoolbook" w:cs="CenturySchoolbook"/>
          <w:sz w:val="24"/>
          <w:szCs w:val="20"/>
        </w:rPr>
      </w:pPr>
      <w:r>
        <w:rPr>
          <w:rFonts w:ascii="CenturySchoolbook" w:hAnsi="CenturySchoolbook" w:cs="CenturySchoolbook"/>
          <w:sz w:val="24"/>
          <w:szCs w:val="20"/>
        </w:rPr>
        <w:t>- KLM A.Ş. paylarına dayalı vadesi 6 ay olan varant: -10</w:t>
      </w:r>
    </w:p>
    <w:p w:rsidR="002D6087" w:rsidRPr="00F375F1" w:rsidRDefault="002D6087" w:rsidP="002D6087">
      <w:pPr>
        <w:jc w:val="both"/>
        <w:rPr>
          <w:rFonts w:ascii="CenturySchoolbook" w:hAnsi="CenturySchoolbook" w:cs="CenturySchoolbook"/>
          <w:b/>
          <w:sz w:val="24"/>
          <w:szCs w:val="20"/>
        </w:rPr>
      </w:pPr>
      <w:r w:rsidRPr="00F375F1">
        <w:rPr>
          <w:rFonts w:ascii="Times New Roman" w:hAnsi="Times New Roman" w:cs="Times New Roman"/>
          <w:b/>
          <w:sz w:val="24"/>
          <w:szCs w:val="20"/>
        </w:rPr>
        <w:t>→</w:t>
      </w:r>
      <w:r w:rsidRPr="00F375F1">
        <w:rPr>
          <w:rFonts w:ascii="CenturySchoolbook" w:hAnsi="CenturySchoolbook" w:cs="CenturySchoolbook"/>
          <w:b/>
          <w:sz w:val="24"/>
          <w:szCs w:val="20"/>
        </w:rPr>
        <w:t>Netleştirme yapılması halinde ise açık pozisyon tutarı toplamı 30 TL olacaktır. (20+10</w:t>
      </w:r>
      <w:r w:rsidR="003C0A07">
        <w:rPr>
          <w:rFonts w:ascii="CenturySchoolbook" w:hAnsi="CenturySchoolbook" w:cs="CenturySchoolbook"/>
          <w:b/>
          <w:sz w:val="24"/>
          <w:szCs w:val="20"/>
        </w:rPr>
        <w:t xml:space="preserve"> = 30 TL</w:t>
      </w:r>
      <w:r w:rsidRPr="00F375F1">
        <w:rPr>
          <w:rFonts w:ascii="CenturySchoolbook" w:hAnsi="CenturySchoolbook" w:cs="CenturySchoolbook"/>
          <w:b/>
          <w:sz w:val="24"/>
          <w:szCs w:val="20"/>
        </w:rPr>
        <w:t>)</w:t>
      </w:r>
    </w:p>
    <w:p w:rsidR="002D6087" w:rsidRDefault="002D6087" w:rsidP="002D6087">
      <w:pPr>
        <w:ind w:firstLine="708"/>
        <w:jc w:val="both"/>
        <w:rPr>
          <w:rFonts w:ascii="CenturySchoolbook" w:hAnsi="CenturySchoolbook" w:cs="CenturySchoolbook"/>
          <w:sz w:val="24"/>
          <w:szCs w:val="20"/>
        </w:rPr>
      </w:pPr>
      <w:r>
        <w:rPr>
          <w:rFonts w:ascii="CenturySchoolbook" w:hAnsi="CenturySchoolbook" w:cs="CenturySchoolbook"/>
          <w:sz w:val="24"/>
          <w:szCs w:val="20"/>
        </w:rPr>
        <w:t>-XYZ A.Ş. paylarına dayalı vadeli işlem sözleşmesi: 0 (Spot pozisyon vadeli işlem pozisyonundan büyük olduğundan sonuç 0’dır.)</w:t>
      </w:r>
    </w:p>
    <w:p w:rsidR="002D6087" w:rsidRDefault="002D6087" w:rsidP="002D6087">
      <w:pPr>
        <w:ind w:firstLine="708"/>
        <w:jc w:val="both"/>
        <w:rPr>
          <w:rFonts w:ascii="CenturySchoolbook" w:hAnsi="CenturySchoolbook" w:cs="CenturySchoolbook"/>
          <w:sz w:val="24"/>
          <w:szCs w:val="20"/>
        </w:rPr>
      </w:pPr>
      <w:r>
        <w:rPr>
          <w:rFonts w:ascii="CenturySchoolbook" w:hAnsi="CenturySchoolbook" w:cs="CenturySchoolbook"/>
          <w:sz w:val="24"/>
          <w:szCs w:val="20"/>
        </w:rPr>
        <w:t>-BİST 30 endeksine dayalı vadeli işlem sözleşmesi: -10 (Sadece dayanak varlığı aynı olan pozisyonlar netleştirilebileceği için BİST30 endeksinde yer alan XYZ A.Ş. payları ile dayanak varlığı BİST30 endeksi olan pozisyonlar arasında netleştirme yapılmamıştır.)</w:t>
      </w:r>
    </w:p>
    <w:p w:rsidR="002D6087" w:rsidRDefault="002D6087" w:rsidP="006260E9">
      <w:pPr>
        <w:ind w:firstLine="708"/>
        <w:jc w:val="both"/>
        <w:rPr>
          <w:rFonts w:ascii="CenturySchoolbook" w:hAnsi="CenturySchoolbook" w:cs="CenturySchoolbook"/>
          <w:sz w:val="24"/>
          <w:szCs w:val="20"/>
        </w:rPr>
      </w:pPr>
      <w:r>
        <w:rPr>
          <w:rFonts w:ascii="CenturySchoolbook" w:hAnsi="CenturySchoolbook" w:cs="CenturySchoolbook"/>
          <w:sz w:val="24"/>
          <w:szCs w:val="20"/>
        </w:rPr>
        <w:t>-KLM A.Ş. paylarına dayalı vadeli işlem sözleşmesi ve varant: 20 (Dayanak varlığı aynı olduğu sü</w:t>
      </w:r>
      <w:r w:rsidR="006260E9">
        <w:rPr>
          <w:rFonts w:ascii="CenturySchoolbook" w:hAnsi="CenturySchoolbook" w:cs="CenturySchoolbook"/>
          <w:sz w:val="24"/>
          <w:szCs w:val="20"/>
        </w:rPr>
        <w:t>re</w:t>
      </w:r>
      <w:r>
        <w:rPr>
          <w:rFonts w:ascii="CenturySchoolbook" w:hAnsi="CenturySchoolbook" w:cs="CenturySchoolbook"/>
          <w:sz w:val="24"/>
          <w:szCs w:val="20"/>
        </w:rPr>
        <w:t>ce vade ve kaldıraçlı işlemin türü dikkate alınmaksızın netleştirme yapılabilir.)</w:t>
      </w:r>
    </w:p>
    <w:p w:rsidR="002D6087" w:rsidRDefault="002D6087" w:rsidP="002D6087">
      <w:pPr>
        <w:autoSpaceDE w:val="0"/>
        <w:autoSpaceDN w:val="0"/>
        <w:adjustRightInd w:val="0"/>
        <w:spacing w:after="0" w:line="240" w:lineRule="auto"/>
        <w:rPr>
          <w:rFonts w:ascii="CenturySchoolbook" w:hAnsi="CenturySchoolbook" w:cs="CenturySchoolbook"/>
          <w:sz w:val="24"/>
          <w:szCs w:val="20"/>
        </w:rPr>
      </w:pPr>
    </w:p>
    <w:p w:rsidR="002D6087" w:rsidRPr="00522BE7" w:rsidRDefault="00E776F6" w:rsidP="00522BE7">
      <w:pPr>
        <w:pStyle w:val="Heading3"/>
      </w:pPr>
      <w:bookmarkStart w:id="238" w:name="_Toc130312601"/>
      <w:bookmarkStart w:id="239" w:name="_Toc130312734"/>
      <w:r w:rsidRPr="00522BE7">
        <w:t xml:space="preserve">7.5.4. </w:t>
      </w:r>
      <w:r w:rsidR="002D6087" w:rsidRPr="00522BE7">
        <w:t>Riskten Korunma</w:t>
      </w:r>
      <w:r w:rsidRPr="00522BE7">
        <w:t xml:space="preserve"> Esasları</w:t>
      </w:r>
      <w:bookmarkEnd w:id="238"/>
      <w:bookmarkEnd w:id="239"/>
    </w:p>
    <w:p w:rsidR="002D6087" w:rsidRPr="00BD2ED0" w:rsidRDefault="002D6087" w:rsidP="002D6087">
      <w:pPr>
        <w:autoSpaceDE w:val="0"/>
        <w:autoSpaceDN w:val="0"/>
        <w:adjustRightInd w:val="0"/>
        <w:spacing w:after="0" w:line="240" w:lineRule="auto"/>
        <w:rPr>
          <w:rFonts w:ascii="Times New Roman" w:hAnsi="Times New Roman" w:cs="Times New Roman"/>
          <w:b/>
          <w:sz w:val="24"/>
          <w:szCs w:val="24"/>
          <w:u w:val="single"/>
        </w:rPr>
      </w:pPr>
    </w:p>
    <w:p w:rsidR="003C0A07" w:rsidRDefault="002D6087" w:rsidP="0006161B">
      <w:pPr>
        <w:pStyle w:val="ListParagraph"/>
        <w:numPr>
          <w:ilvl w:val="0"/>
          <w:numId w:val="21"/>
        </w:numPr>
        <w:tabs>
          <w:tab w:val="left" w:pos="426"/>
        </w:tabs>
        <w:spacing w:line="240" w:lineRule="auto"/>
        <w:jc w:val="both"/>
        <w:rPr>
          <w:rFonts w:ascii="Times New Roman" w:hAnsi="Times New Roman" w:cs="Times New Roman"/>
          <w:sz w:val="24"/>
          <w:szCs w:val="24"/>
        </w:rPr>
      </w:pPr>
      <w:r w:rsidRPr="003C0A07">
        <w:rPr>
          <w:rFonts w:ascii="Times New Roman" w:hAnsi="Times New Roman" w:cs="Times New Roman"/>
          <w:sz w:val="24"/>
          <w:szCs w:val="20"/>
        </w:rPr>
        <w:t xml:space="preserve">Aşağıda yer alan kriterlerin tamamının sağlanması koşuluyla fon porföyündeki bazı varlıklara ilişkin risklerin bertaraf edilmesi halinde, riskten korunmaya ilişkin işlemler açık </w:t>
      </w:r>
      <w:r w:rsidRPr="003C0A07">
        <w:rPr>
          <w:rFonts w:ascii="Times New Roman" w:hAnsi="Times New Roman" w:cs="Times New Roman"/>
          <w:sz w:val="24"/>
          <w:szCs w:val="24"/>
        </w:rPr>
        <w:t xml:space="preserve">pozisyon hesaplamasında indirim kalemi olarak dikkate alınabilir. </w:t>
      </w:r>
    </w:p>
    <w:p w:rsidR="003C0A07" w:rsidRDefault="003C0A07" w:rsidP="003C0A07">
      <w:pPr>
        <w:pStyle w:val="ListParagraph"/>
        <w:tabs>
          <w:tab w:val="left" w:pos="426"/>
        </w:tabs>
        <w:spacing w:line="240" w:lineRule="auto"/>
        <w:jc w:val="both"/>
        <w:rPr>
          <w:rFonts w:ascii="Times New Roman" w:hAnsi="Times New Roman" w:cs="Times New Roman"/>
          <w:sz w:val="24"/>
          <w:szCs w:val="24"/>
        </w:rPr>
      </w:pPr>
    </w:p>
    <w:p w:rsidR="002D6087" w:rsidRDefault="002D6087" w:rsidP="003C0A07">
      <w:pPr>
        <w:pStyle w:val="ListParagraph"/>
        <w:tabs>
          <w:tab w:val="left" w:pos="426"/>
        </w:tabs>
        <w:spacing w:line="240" w:lineRule="auto"/>
        <w:jc w:val="both"/>
        <w:rPr>
          <w:rFonts w:ascii="Times New Roman" w:hAnsi="Times New Roman" w:cs="Times New Roman"/>
          <w:sz w:val="24"/>
          <w:szCs w:val="24"/>
        </w:rPr>
      </w:pPr>
      <w:r w:rsidRPr="003C0A07">
        <w:rPr>
          <w:rFonts w:ascii="Times New Roman" w:hAnsi="Times New Roman" w:cs="Times New Roman"/>
          <w:sz w:val="24"/>
          <w:szCs w:val="24"/>
        </w:rPr>
        <w:t>Bu kapsamd</w:t>
      </w:r>
      <w:r>
        <w:rPr>
          <w:rFonts w:ascii="Times New Roman" w:hAnsi="Times New Roman" w:cs="Times New Roman"/>
          <w:sz w:val="24"/>
          <w:szCs w:val="24"/>
        </w:rPr>
        <w:t>a</w:t>
      </w:r>
      <w:r w:rsidR="003C0A07">
        <w:rPr>
          <w:rFonts w:ascii="Times New Roman" w:hAnsi="Times New Roman" w:cs="Times New Roman"/>
          <w:sz w:val="24"/>
          <w:szCs w:val="24"/>
        </w:rPr>
        <w:t>;</w:t>
      </w:r>
    </w:p>
    <w:p w:rsidR="00FC2E93" w:rsidRPr="00BD2ED0" w:rsidRDefault="00FC2E93" w:rsidP="00FC2E93">
      <w:pPr>
        <w:pStyle w:val="ListParagraph"/>
        <w:tabs>
          <w:tab w:val="left" w:pos="426"/>
        </w:tabs>
        <w:spacing w:line="240" w:lineRule="auto"/>
        <w:jc w:val="both"/>
        <w:rPr>
          <w:rFonts w:ascii="Times New Roman" w:hAnsi="Times New Roman" w:cs="Times New Roman"/>
          <w:sz w:val="24"/>
          <w:szCs w:val="24"/>
        </w:rPr>
      </w:pPr>
    </w:p>
    <w:p w:rsidR="002D6087" w:rsidRPr="00BD2ED0" w:rsidRDefault="002D6087" w:rsidP="0006161B">
      <w:pPr>
        <w:pStyle w:val="ListParagraph"/>
        <w:numPr>
          <w:ilvl w:val="0"/>
          <w:numId w:val="20"/>
        </w:numPr>
        <w:spacing w:line="240" w:lineRule="auto"/>
        <w:ind w:left="1560" w:hanging="142"/>
        <w:jc w:val="both"/>
        <w:rPr>
          <w:rFonts w:ascii="Times New Roman" w:hAnsi="Times New Roman" w:cs="Times New Roman"/>
          <w:sz w:val="24"/>
          <w:szCs w:val="24"/>
        </w:rPr>
      </w:pPr>
      <w:r w:rsidRPr="00BD2ED0">
        <w:rPr>
          <w:rFonts w:ascii="Times New Roman" w:hAnsi="Times New Roman" w:cs="Times New Roman"/>
          <w:sz w:val="24"/>
          <w:szCs w:val="24"/>
        </w:rPr>
        <w:t>Kaldıraçlı işlem kullanımının getiri sağlama amacı taşımaması</w:t>
      </w:r>
      <w:r>
        <w:rPr>
          <w:rFonts w:ascii="Times New Roman" w:hAnsi="Times New Roman" w:cs="Times New Roman"/>
          <w:sz w:val="24"/>
          <w:szCs w:val="24"/>
        </w:rPr>
        <w:t>,</w:t>
      </w:r>
    </w:p>
    <w:p w:rsidR="002D6087" w:rsidRPr="00BD2ED0" w:rsidRDefault="002D6087" w:rsidP="0006161B">
      <w:pPr>
        <w:pStyle w:val="ListParagraph"/>
        <w:numPr>
          <w:ilvl w:val="0"/>
          <w:numId w:val="20"/>
        </w:numPr>
        <w:ind w:left="1560" w:hanging="142"/>
        <w:rPr>
          <w:rFonts w:ascii="Times New Roman" w:hAnsi="Times New Roman" w:cs="Times New Roman"/>
          <w:sz w:val="24"/>
          <w:szCs w:val="24"/>
        </w:rPr>
      </w:pPr>
      <w:r w:rsidRPr="00BD2ED0">
        <w:rPr>
          <w:rFonts w:ascii="Times New Roman" w:hAnsi="Times New Roman" w:cs="Times New Roman"/>
          <w:sz w:val="24"/>
          <w:szCs w:val="24"/>
        </w:rPr>
        <w:t>Fonun risk seviyesinde azalışın meydana gelmesi</w:t>
      </w:r>
      <w:r>
        <w:rPr>
          <w:rFonts w:ascii="Times New Roman" w:hAnsi="Times New Roman" w:cs="Times New Roman"/>
          <w:sz w:val="24"/>
          <w:szCs w:val="24"/>
        </w:rPr>
        <w:t>,</w:t>
      </w:r>
    </w:p>
    <w:p w:rsidR="002D6087" w:rsidRPr="00BD2ED0" w:rsidRDefault="002D6087" w:rsidP="0006161B">
      <w:pPr>
        <w:pStyle w:val="ListParagraph"/>
        <w:numPr>
          <w:ilvl w:val="0"/>
          <w:numId w:val="20"/>
        </w:numPr>
        <w:ind w:left="1560" w:hanging="142"/>
        <w:rPr>
          <w:rFonts w:ascii="Times New Roman" w:hAnsi="Times New Roman" w:cs="Times New Roman"/>
          <w:sz w:val="24"/>
          <w:szCs w:val="24"/>
        </w:rPr>
      </w:pPr>
      <w:r w:rsidRPr="00BD2ED0">
        <w:rPr>
          <w:rFonts w:ascii="Times New Roman" w:hAnsi="Times New Roman" w:cs="Times New Roman"/>
          <w:sz w:val="24"/>
          <w:szCs w:val="24"/>
        </w:rPr>
        <w:t>Kaldıraç</w:t>
      </w:r>
      <w:r>
        <w:rPr>
          <w:rFonts w:ascii="Times New Roman" w:hAnsi="Times New Roman" w:cs="Times New Roman"/>
          <w:sz w:val="24"/>
          <w:szCs w:val="24"/>
        </w:rPr>
        <w:t xml:space="preserve"> yaratan </w:t>
      </w:r>
      <w:r w:rsidRPr="00BD2ED0">
        <w:rPr>
          <w:rFonts w:ascii="Times New Roman" w:hAnsi="Times New Roman" w:cs="Times New Roman"/>
          <w:sz w:val="24"/>
          <w:szCs w:val="24"/>
        </w:rPr>
        <w:t>işlemlerden kaynaklanan risklerin azaltılması</w:t>
      </w:r>
      <w:r>
        <w:rPr>
          <w:rFonts w:ascii="Times New Roman" w:hAnsi="Times New Roman" w:cs="Times New Roman"/>
          <w:sz w:val="24"/>
          <w:szCs w:val="24"/>
        </w:rPr>
        <w:t>,</w:t>
      </w:r>
    </w:p>
    <w:p w:rsidR="002D6087" w:rsidRPr="00E316CE" w:rsidRDefault="002D6087" w:rsidP="0006161B">
      <w:pPr>
        <w:pStyle w:val="ListParagraph"/>
        <w:numPr>
          <w:ilvl w:val="0"/>
          <w:numId w:val="20"/>
        </w:numPr>
        <w:ind w:left="1560" w:hanging="142"/>
        <w:rPr>
          <w:rFonts w:ascii="Times New Roman" w:hAnsi="Times New Roman" w:cs="Times New Roman"/>
          <w:sz w:val="24"/>
          <w:szCs w:val="24"/>
        </w:rPr>
      </w:pPr>
      <w:r w:rsidRPr="00BD2ED0">
        <w:rPr>
          <w:rFonts w:ascii="Times New Roman" w:hAnsi="Times New Roman" w:cs="Times New Roman"/>
          <w:sz w:val="24"/>
          <w:szCs w:val="24"/>
        </w:rPr>
        <w:t xml:space="preserve">Riskten korunma sağlayan işlemlerin dayanak varlıklarının aynı </w:t>
      </w:r>
      <w:r w:rsidRPr="00E316CE">
        <w:rPr>
          <w:rFonts w:ascii="Times New Roman" w:hAnsi="Times New Roman" w:cs="Times New Roman"/>
          <w:sz w:val="24"/>
          <w:szCs w:val="24"/>
        </w:rPr>
        <w:t>olması</w:t>
      </w:r>
      <w:r>
        <w:rPr>
          <w:rFonts w:ascii="Times New Roman" w:hAnsi="Times New Roman" w:cs="Times New Roman"/>
          <w:sz w:val="24"/>
          <w:szCs w:val="24"/>
        </w:rPr>
        <w:t>,</w:t>
      </w:r>
    </w:p>
    <w:p w:rsidR="002D6087" w:rsidRPr="007229FF" w:rsidRDefault="002D6087" w:rsidP="0006161B">
      <w:pPr>
        <w:pStyle w:val="ListParagraph"/>
        <w:numPr>
          <w:ilvl w:val="0"/>
          <w:numId w:val="20"/>
        </w:numPr>
        <w:ind w:left="1560" w:hanging="142"/>
      </w:pPr>
      <w:r w:rsidRPr="00BD2ED0">
        <w:rPr>
          <w:rFonts w:ascii="Times New Roman" w:hAnsi="Times New Roman" w:cs="Times New Roman"/>
          <w:sz w:val="24"/>
          <w:szCs w:val="24"/>
        </w:rPr>
        <w:t>Riskten korunma sağlayan işlemlerin, olumsuz piyasa koşullarında</w:t>
      </w:r>
      <w:r w:rsidR="00ED62C6">
        <w:rPr>
          <w:rStyle w:val="FootnoteReference"/>
          <w:rFonts w:ascii="Times New Roman" w:hAnsi="Times New Roman" w:cs="Times New Roman"/>
          <w:sz w:val="24"/>
          <w:szCs w:val="24"/>
        </w:rPr>
        <w:footnoteReference w:id="13"/>
      </w:r>
      <w:r w:rsidRPr="00BD2ED0">
        <w:rPr>
          <w:rFonts w:ascii="Times New Roman" w:hAnsi="Times New Roman" w:cs="Times New Roman"/>
          <w:sz w:val="24"/>
          <w:szCs w:val="24"/>
        </w:rPr>
        <w:t xml:space="preserve"> da bu işlevi yerine getirmesi </w:t>
      </w:r>
    </w:p>
    <w:p w:rsidR="002D6087" w:rsidRDefault="002D6087" w:rsidP="00104D15">
      <w:pPr>
        <w:ind w:firstLine="708"/>
      </w:pPr>
      <w:r>
        <w:rPr>
          <w:rFonts w:ascii="Times New Roman" w:hAnsi="Times New Roman" w:cs="Times New Roman"/>
          <w:sz w:val="24"/>
          <w:szCs w:val="24"/>
        </w:rPr>
        <w:t>g</w:t>
      </w:r>
      <w:r w:rsidRPr="00F375F1">
        <w:rPr>
          <w:rFonts w:ascii="Times New Roman" w:hAnsi="Times New Roman" w:cs="Times New Roman"/>
          <w:sz w:val="24"/>
          <w:szCs w:val="24"/>
        </w:rPr>
        <w:t>erek</w:t>
      </w:r>
      <w:r>
        <w:rPr>
          <w:rFonts w:ascii="Times New Roman" w:hAnsi="Times New Roman" w:cs="Times New Roman"/>
          <w:sz w:val="24"/>
          <w:szCs w:val="24"/>
        </w:rPr>
        <w:t>ir.</w:t>
      </w:r>
    </w:p>
    <w:p w:rsidR="002D6087" w:rsidRPr="003C0A07" w:rsidRDefault="002D6087" w:rsidP="0006161B">
      <w:pPr>
        <w:pStyle w:val="ListParagraph"/>
        <w:numPr>
          <w:ilvl w:val="0"/>
          <w:numId w:val="21"/>
        </w:numPr>
        <w:jc w:val="both"/>
        <w:rPr>
          <w:rFonts w:ascii="Times New Roman" w:hAnsi="Times New Roman" w:cs="Times New Roman"/>
          <w:szCs w:val="24"/>
        </w:rPr>
      </w:pPr>
      <w:r w:rsidRPr="00BD2ED0">
        <w:rPr>
          <w:rFonts w:ascii="Times New Roman" w:hAnsi="Times New Roman" w:cs="Times New Roman"/>
          <w:sz w:val="24"/>
          <w:szCs w:val="24"/>
        </w:rPr>
        <w:t xml:space="preserve">Kur riskinden korunma amacı taşıyan </w:t>
      </w:r>
      <w:r w:rsidRPr="0018519D">
        <w:rPr>
          <w:rFonts w:ascii="Times New Roman" w:hAnsi="Times New Roman" w:cs="Times New Roman"/>
          <w:sz w:val="24"/>
          <w:szCs w:val="24"/>
        </w:rPr>
        <w:t>işlemler,</w:t>
      </w:r>
      <w:r w:rsidR="00FB2B3C">
        <w:rPr>
          <w:rFonts w:ascii="Times New Roman" w:hAnsi="Times New Roman" w:cs="Times New Roman"/>
          <w:sz w:val="24"/>
          <w:szCs w:val="24"/>
        </w:rPr>
        <w:t xml:space="preserve"> </w:t>
      </w:r>
      <w:r w:rsidRPr="00BD2ED0">
        <w:rPr>
          <w:rFonts w:ascii="Times New Roman" w:hAnsi="Times New Roman" w:cs="Times New Roman"/>
          <w:sz w:val="24"/>
          <w:szCs w:val="24"/>
        </w:rPr>
        <w:t>ilave açık pozisyon</w:t>
      </w:r>
      <w:r w:rsidR="00AC7EF8">
        <w:rPr>
          <w:rFonts w:ascii="Times New Roman" w:hAnsi="Times New Roman" w:cs="Times New Roman"/>
          <w:sz w:val="24"/>
          <w:szCs w:val="24"/>
        </w:rPr>
        <w:t xml:space="preserve"> </w:t>
      </w:r>
      <w:r w:rsidRPr="00BD2ED0">
        <w:rPr>
          <w:rFonts w:ascii="Times New Roman" w:hAnsi="Times New Roman" w:cs="Times New Roman"/>
          <w:sz w:val="24"/>
          <w:szCs w:val="24"/>
        </w:rPr>
        <w:t xml:space="preserve">ve/veya </w:t>
      </w:r>
      <w:r>
        <w:rPr>
          <w:rFonts w:ascii="Times New Roman" w:hAnsi="Times New Roman" w:cs="Times New Roman"/>
          <w:sz w:val="24"/>
          <w:szCs w:val="24"/>
        </w:rPr>
        <w:t>piyasa</w:t>
      </w:r>
      <w:r w:rsidRPr="000E34E5">
        <w:rPr>
          <w:rFonts w:ascii="Times New Roman" w:hAnsi="Times New Roman" w:cs="Times New Roman"/>
          <w:sz w:val="24"/>
          <w:szCs w:val="24"/>
        </w:rPr>
        <w:t xml:space="preserve"> risk</w:t>
      </w:r>
      <w:r>
        <w:rPr>
          <w:rFonts w:ascii="Times New Roman" w:hAnsi="Times New Roman" w:cs="Times New Roman"/>
          <w:sz w:val="24"/>
          <w:szCs w:val="24"/>
        </w:rPr>
        <w:t>i</w:t>
      </w:r>
      <w:r w:rsidRPr="000E34E5">
        <w:rPr>
          <w:rFonts w:ascii="Times New Roman" w:hAnsi="Times New Roman" w:cs="Times New Roman"/>
          <w:sz w:val="24"/>
          <w:szCs w:val="24"/>
        </w:rPr>
        <w:t xml:space="preserve"> yaratmaması</w:t>
      </w:r>
      <w:r w:rsidRPr="00BD2ED0">
        <w:rPr>
          <w:rFonts w:ascii="Times New Roman" w:hAnsi="Times New Roman" w:cs="Times New Roman"/>
          <w:sz w:val="24"/>
          <w:szCs w:val="24"/>
        </w:rPr>
        <w:t xml:space="preserve"> koşuluyla</w:t>
      </w:r>
      <w:r>
        <w:rPr>
          <w:rFonts w:ascii="Times New Roman" w:hAnsi="Times New Roman" w:cs="Times New Roman"/>
          <w:sz w:val="24"/>
          <w:szCs w:val="24"/>
        </w:rPr>
        <w:t>,</w:t>
      </w:r>
      <w:r w:rsidRPr="00BD2ED0">
        <w:rPr>
          <w:rFonts w:ascii="Times New Roman" w:hAnsi="Times New Roman" w:cs="Times New Roman"/>
          <w:sz w:val="24"/>
          <w:szCs w:val="24"/>
        </w:rPr>
        <w:t xml:space="preserve"> yukarıda yer alan şartları taşımaksızın </w:t>
      </w:r>
      <w:r w:rsidRPr="00106ADD">
        <w:rPr>
          <w:rFonts w:ascii="CenturySchoolbook" w:hAnsi="CenturySchoolbook" w:cs="CenturySchoolbook"/>
          <w:sz w:val="24"/>
          <w:szCs w:val="20"/>
        </w:rPr>
        <w:t xml:space="preserve">riskten korunma olarak </w:t>
      </w:r>
      <w:r w:rsidRPr="00106ADD">
        <w:rPr>
          <w:rFonts w:ascii="Times New Roman" w:hAnsi="Times New Roman" w:cs="Times New Roman"/>
          <w:sz w:val="24"/>
          <w:szCs w:val="24"/>
        </w:rPr>
        <w:t xml:space="preserve">değerlendirilebilir.   </w:t>
      </w:r>
    </w:p>
    <w:p w:rsidR="003C0A07" w:rsidRDefault="003C0A07" w:rsidP="003C0A07">
      <w:pPr>
        <w:pStyle w:val="ListParagraph"/>
        <w:jc w:val="both"/>
        <w:rPr>
          <w:rFonts w:ascii="Times New Roman" w:hAnsi="Times New Roman" w:cs="Times New Roman"/>
          <w:szCs w:val="24"/>
        </w:rPr>
      </w:pPr>
    </w:p>
    <w:p w:rsidR="002D6087" w:rsidRPr="003C0A07" w:rsidRDefault="002D6087" w:rsidP="0006161B">
      <w:pPr>
        <w:pStyle w:val="ListParagraph"/>
        <w:numPr>
          <w:ilvl w:val="0"/>
          <w:numId w:val="21"/>
        </w:numPr>
        <w:jc w:val="both"/>
        <w:rPr>
          <w:rFonts w:ascii="Times New Roman" w:hAnsi="Times New Roman" w:cs="Times New Roman"/>
          <w:szCs w:val="24"/>
        </w:rPr>
      </w:pPr>
      <w:r>
        <w:rPr>
          <w:rFonts w:ascii="CenturySchoolbook" w:hAnsi="CenturySchoolbook" w:cs="CenturySchoolbook"/>
          <w:sz w:val="24"/>
          <w:szCs w:val="20"/>
        </w:rPr>
        <w:t>R</w:t>
      </w:r>
      <w:r w:rsidRPr="00BD2ED0">
        <w:rPr>
          <w:rFonts w:ascii="CenturySchoolbook" w:hAnsi="CenturySchoolbook" w:cs="CenturySchoolbook"/>
          <w:sz w:val="24"/>
          <w:szCs w:val="20"/>
        </w:rPr>
        <w:t>iskin bertaraf edilmesi amacıyla endekse dayalı kaldıraç</w:t>
      </w:r>
      <w:r>
        <w:rPr>
          <w:rFonts w:ascii="CenturySchoolbook" w:hAnsi="CenturySchoolbook" w:cs="CenturySchoolbook"/>
          <w:sz w:val="24"/>
          <w:szCs w:val="20"/>
        </w:rPr>
        <w:t xml:space="preserve"> yaratan</w:t>
      </w:r>
      <w:r w:rsidRPr="00BD2ED0">
        <w:rPr>
          <w:rFonts w:ascii="CenturySchoolbook" w:hAnsi="CenturySchoolbook" w:cs="CenturySchoolbook"/>
          <w:sz w:val="24"/>
          <w:szCs w:val="20"/>
        </w:rPr>
        <w:t xml:space="preserve"> işlemlerde kısa pozisyon </w:t>
      </w:r>
      <w:r>
        <w:rPr>
          <w:rFonts w:ascii="CenturySchoolbook" w:hAnsi="CenturySchoolbook" w:cs="CenturySchoolbook"/>
          <w:sz w:val="24"/>
          <w:szCs w:val="20"/>
        </w:rPr>
        <w:t>alınması suretiyle</w:t>
      </w:r>
      <w:r w:rsidRPr="00BD2ED0">
        <w:rPr>
          <w:rFonts w:ascii="CenturySchoolbook" w:hAnsi="CenturySchoolbook" w:cs="CenturySchoolbook"/>
          <w:sz w:val="24"/>
          <w:szCs w:val="20"/>
        </w:rPr>
        <w:t xml:space="preserve"> piyasa riskinin azaltıldığı durum (beta hedging) riskten korunma olarak </w:t>
      </w:r>
      <w:r w:rsidRPr="00BD2ED0">
        <w:rPr>
          <w:rFonts w:ascii="Times New Roman" w:hAnsi="Times New Roman" w:cs="Times New Roman"/>
          <w:sz w:val="24"/>
          <w:szCs w:val="24"/>
        </w:rPr>
        <w:t xml:space="preserve">değerlendirilebilir.   </w:t>
      </w:r>
    </w:p>
    <w:p w:rsidR="003C0A07" w:rsidRDefault="003C0A07" w:rsidP="003C0A07">
      <w:pPr>
        <w:pStyle w:val="ListParagraph"/>
        <w:jc w:val="both"/>
        <w:rPr>
          <w:rFonts w:ascii="Times New Roman" w:hAnsi="Times New Roman" w:cs="Times New Roman"/>
          <w:szCs w:val="24"/>
        </w:rPr>
      </w:pPr>
    </w:p>
    <w:p w:rsidR="002D6087" w:rsidRDefault="002D6087" w:rsidP="0006161B">
      <w:pPr>
        <w:pStyle w:val="ListParagraph"/>
        <w:numPr>
          <w:ilvl w:val="0"/>
          <w:numId w:val="21"/>
        </w:numPr>
        <w:jc w:val="both"/>
        <w:rPr>
          <w:rFonts w:ascii="Times New Roman" w:hAnsi="Times New Roman" w:cs="Times New Roman"/>
          <w:sz w:val="24"/>
          <w:szCs w:val="24"/>
        </w:rPr>
      </w:pPr>
      <w:r w:rsidRPr="00BD2ED0">
        <w:rPr>
          <w:rFonts w:ascii="Times New Roman" w:hAnsi="Times New Roman" w:cs="Times New Roman"/>
          <w:sz w:val="24"/>
          <w:szCs w:val="24"/>
        </w:rPr>
        <w:t>Fon portföyünde yer alan bir ortaklık payından kaynaklanan riskin, başka bir ortaklık payına dayalı kaldıraç</w:t>
      </w:r>
      <w:r>
        <w:rPr>
          <w:rFonts w:ascii="Times New Roman" w:hAnsi="Times New Roman" w:cs="Times New Roman"/>
          <w:sz w:val="24"/>
          <w:szCs w:val="24"/>
        </w:rPr>
        <w:t xml:space="preserve"> yaratan </w:t>
      </w:r>
      <w:r w:rsidRPr="00BD2ED0">
        <w:rPr>
          <w:rFonts w:ascii="Times New Roman" w:hAnsi="Times New Roman" w:cs="Times New Roman"/>
          <w:sz w:val="24"/>
          <w:szCs w:val="24"/>
        </w:rPr>
        <w:t xml:space="preserve">işlemler ile ters pozisyon alınarak bertaraf edilmesine yönelik yatırım stratejileri, iki ortaklık payının getirileri arasındaki korelasyon yüksek olsa dahi, riskten korunma olarak değerlendirilmez. </w:t>
      </w:r>
    </w:p>
    <w:p w:rsidR="00F47904" w:rsidRPr="00BD2ED0" w:rsidRDefault="00F47904" w:rsidP="00F47904">
      <w:pPr>
        <w:pStyle w:val="ListParagraph"/>
        <w:jc w:val="both"/>
        <w:rPr>
          <w:rFonts w:ascii="Times New Roman" w:hAnsi="Times New Roman" w:cs="Times New Roman"/>
          <w:sz w:val="24"/>
          <w:szCs w:val="24"/>
        </w:rPr>
      </w:pPr>
    </w:p>
    <w:p w:rsidR="002D6087" w:rsidRDefault="002D6087" w:rsidP="003C0A07">
      <w:pPr>
        <w:pStyle w:val="Heading2"/>
        <w:spacing w:after="240"/>
        <w:rPr>
          <w:i/>
        </w:rPr>
      </w:pPr>
      <w:bookmarkStart w:id="240" w:name="_Toc130312602"/>
      <w:bookmarkStart w:id="241" w:name="_Toc130312735"/>
      <w:r w:rsidRPr="008E2E38">
        <w:t>7.</w:t>
      </w:r>
      <w:r>
        <w:t>6</w:t>
      </w:r>
      <w:r w:rsidRPr="008E2E38">
        <w:t>. Riske Maruz Değer (RMD) Yöntemi</w:t>
      </w:r>
      <w:bookmarkEnd w:id="240"/>
      <w:bookmarkEnd w:id="241"/>
    </w:p>
    <w:p w:rsidR="002D6087" w:rsidRDefault="002D6087" w:rsidP="00254D76">
      <w:pPr>
        <w:ind w:firstLine="708"/>
        <w:jc w:val="both"/>
        <w:rPr>
          <w:rFonts w:ascii="Times New Roman" w:hAnsi="Times New Roman" w:cs="Times New Roman"/>
          <w:sz w:val="24"/>
          <w:szCs w:val="24"/>
        </w:rPr>
      </w:pPr>
      <w:r w:rsidRPr="00BD2ED0">
        <w:rPr>
          <w:rFonts w:ascii="Times New Roman" w:hAnsi="Times New Roman" w:cs="Times New Roman"/>
          <w:sz w:val="24"/>
          <w:szCs w:val="24"/>
        </w:rPr>
        <w:t>Riske maruz değer</w:t>
      </w:r>
      <w:r>
        <w:rPr>
          <w:rFonts w:ascii="Times New Roman" w:hAnsi="Times New Roman" w:cs="Times New Roman"/>
          <w:sz w:val="24"/>
          <w:szCs w:val="24"/>
        </w:rPr>
        <w:t>,</w:t>
      </w:r>
      <w:r w:rsidR="00880274">
        <w:rPr>
          <w:rFonts w:ascii="Times New Roman" w:hAnsi="Times New Roman" w:cs="Times New Roman"/>
          <w:sz w:val="24"/>
          <w:szCs w:val="24"/>
        </w:rPr>
        <w:t xml:space="preserve"> </w:t>
      </w:r>
      <w:r>
        <w:rPr>
          <w:rFonts w:ascii="Times New Roman" w:hAnsi="Times New Roman" w:cs="Times New Roman"/>
          <w:sz w:val="24"/>
          <w:szCs w:val="24"/>
        </w:rPr>
        <w:t>f</w:t>
      </w:r>
      <w:r w:rsidRPr="00BD2ED0">
        <w:rPr>
          <w:rFonts w:ascii="Times New Roman" w:hAnsi="Times New Roman" w:cs="Times New Roman"/>
          <w:sz w:val="24"/>
          <w:szCs w:val="24"/>
        </w:rPr>
        <w:t>on portföy değerinin normal piyasa koşulları altında ve belirli bir dönem dahilinde maruz kalabileceği en yüksek zararı belirli bir güven aralığında ifade eden değerdir.</w:t>
      </w:r>
    </w:p>
    <w:p w:rsidR="002D6087" w:rsidRDefault="002D6087" w:rsidP="00254D76">
      <w:pPr>
        <w:ind w:firstLine="708"/>
        <w:jc w:val="both"/>
        <w:rPr>
          <w:rFonts w:ascii="Times New Roman" w:hAnsi="Times New Roman" w:cs="Times New Roman"/>
          <w:sz w:val="24"/>
          <w:szCs w:val="24"/>
        </w:rPr>
      </w:pPr>
      <w:r>
        <w:rPr>
          <w:rFonts w:ascii="Times New Roman" w:hAnsi="Times New Roman" w:cs="Times New Roman"/>
          <w:sz w:val="24"/>
          <w:szCs w:val="24"/>
        </w:rPr>
        <w:t>Örneğin, portföy değeri 5.000.000 TL olan bir fon için %4 olarak hesaplanan RMD (1</w:t>
      </w:r>
      <w:r w:rsidR="00FB2B3C">
        <w:rPr>
          <w:rFonts w:ascii="Times New Roman" w:hAnsi="Times New Roman" w:cs="Times New Roman"/>
          <w:sz w:val="24"/>
          <w:szCs w:val="24"/>
        </w:rPr>
        <w:t xml:space="preserve"> </w:t>
      </w:r>
      <w:r>
        <w:rPr>
          <w:rFonts w:ascii="Times New Roman" w:hAnsi="Times New Roman" w:cs="Times New Roman"/>
          <w:sz w:val="24"/>
          <w:szCs w:val="24"/>
        </w:rPr>
        <w:t xml:space="preserve">gün, %99 güven aralığı), normal piyasa koşullarında %99 olasılıkla bu fonun portföy değerinde bir günde meydana gelen kaybın 200.000 TL’den daha yüksek olmayacağını ifade eder. Başka bir ifadeyle, fon portföy değeri bir gün içinde %1 olasılıkla 200.000 TL’den daha fazla değer kaybedebilir. </w:t>
      </w:r>
    </w:p>
    <w:p w:rsidR="002D6087" w:rsidRPr="00F47904" w:rsidRDefault="002D6087" w:rsidP="003C0A07">
      <w:pPr>
        <w:pStyle w:val="Heading3"/>
        <w:spacing w:after="240"/>
      </w:pPr>
      <w:bookmarkStart w:id="242" w:name="_Toc130312603"/>
      <w:bookmarkStart w:id="243" w:name="_Toc130312736"/>
      <w:r w:rsidRPr="00F47904">
        <w:t>7.6.1. Genel Esaslar</w:t>
      </w:r>
      <w:bookmarkEnd w:id="242"/>
      <w:bookmarkEnd w:id="243"/>
    </w:p>
    <w:p w:rsidR="002D6087" w:rsidRDefault="003C0A07" w:rsidP="0006161B">
      <w:pPr>
        <w:pStyle w:val="ListParagraph"/>
        <w:numPr>
          <w:ilvl w:val="0"/>
          <w:numId w:val="50"/>
        </w:numPr>
        <w:ind w:left="1134"/>
        <w:jc w:val="both"/>
        <w:rPr>
          <w:rFonts w:ascii="Times New Roman" w:hAnsi="Times New Roman" w:cs="Times New Roman"/>
          <w:sz w:val="24"/>
          <w:szCs w:val="24"/>
        </w:rPr>
      </w:pPr>
      <w:r>
        <w:rPr>
          <w:rFonts w:ascii="Times New Roman" w:hAnsi="Times New Roman" w:cs="Times New Roman"/>
          <w:sz w:val="24"/>
          <w:szCs w:val="24"/>
        </w:rPr>
        <w:t>T</w:t>
      </w:r>
      <w:r w:rsidR="0055291F" w:rsidRPr="00874E63">
        <w:rPr>
          <w:rFonts w:ascii="Times New Roman" w:hAnsi="Times New Roman" w:cs="Times New Roman"/>
          <w:sz w:val="24"/>
          <w:szCs w:val="24"/>
        </w:rPr>
        <w:t>ürev araçlardan kaynaklanan riskler de dahil</w:t>
      </w:r>
      <w:r w:rsidR="00FB2B3C">
        <w:rPr>
          <w:rFonts w:ascii="Times New Roman" w:hAnsi="Times New Roman" w:cs="Times New Roman"/>
          <w:sz w:val="24"/>
          <w:szCs w:val="24"/>
        </w:rPr>
        <w:t xml:space="preserve"> </w:t>
      </w:r>
      <w:r>
        <w:rPr>
          <w:rFonts w:ascii="Times New Roman" w:hAnsi="Times New Roman" w:cs="Times New Roman"/>
          <w:sz w:val="24"/>
          <w:szCs w:val="24"/>
        </w:rPr>
        <w:t xml:space="preserve">olmak üzere </w:t>
      </w:r>
      <w:r w:rsidR="0055291F" w:rsidRPr="00874E63">
        <w:rPr>
          <w:rFonts w:ascii="Times New Roman" w:hAnsi="Times New Roman" w:cs="Times New Roman"/>
          <w:sz w:val="24"/>
          <w:szCs w:val="24"/>
        </w:rPr>
        <w:t xml:space="preserve">fon portföyünün içerdiği </w:t>
      </w:r>
      <w:r w:rsidR="00874E63" w:rsidRPr="00874E63">
        <w:rPr>
          <w:rFonts w:ascii="Times New Roman" w:hAnsi="Times New Roman" w:cs="Times New Roman"/>
          <w:sz w:val="24"/>
          <w:szCs w:val="24"/>
        </w:rPr>
        <w:t>piyasa</w:t>
      </w:r>
      <w:r w:rsidR="0055291F" w:rsidRPr="00874E63">
        <w:rPr>
          <w:rFonts w:ascii="Times New Roman" w:hAnsi="Times New Roman" w:cs="Times New Roman"/>
          <w:sz w:val="24"/>
          <w:szCs w:val="24"/>
        </w:rPr>
        <w:t xml:space="preserve"> riskler</w:t>
      </w:r>
      <w:r w:rsidR="00874E63" w:rsidRPr="00874E63">
        <w:rPr>
          <w:rFonts w:ascii="Times New Roman" w:hAnsi="Times New Roman" w:cs="Times New Roman"/>
          <w:sz w:val="24"/>
          <w:szCs w:val="24"/>
        </w:rPr>
        <w:t>i</w:t>
      </w:r>
      <w:r w:rsidR="00193C0B">
        <w:rPr>
          <w:rFonts w:ascii="Times New Roman" w:hAnsi="Times New Roman" w:cs="Times New Roman"/>
          <w:sz w:val="24"/>
          <w:szCs w:val="24"/>
        </w:rPr>
        <w:t xml:space="preserve"> </w:t>
      </w:r>
      <w:r>
        <w:rPr>
          <w:rFonts w:ascii="Times New Roman" w:hAnsi="Times New Roman" w:cs="Times New Roman"/>
          <w:sz w:val="24"/>
          <w:szCs w:val="24"/>
        </w:rPr>
        <w:t xml:space="preserve">RMD yönteminde dikkate </w:t>
      </w:r>
      <w:r w:rsidR="002D6087" w:rsidRPr="00874E63">
        <w:rPr>
          <w:rFonts w:ascii="Times New Roman" w:hAnsi="Times New Roman" w:cs="Times New Roman"/>
          <w:sz w:val="24"/>
          <w:szCs w:val="24"/>
        </w:rPr>
        <w:t xml:space="preserve">alınmalıdır. </w:t>
      </w:r>
    </w:p>
    <w:p w:rsidR="003C0A07" w:rsidRPr="00874E63" w:rsidRDefault="003C0A07" w:rsidP="003C0A07">
      <w:pPr>
        <w:pStyle w:val="ListParagraph"/>
        <w:ind w:left="1134"/>
        <w:jc w:val="both"/>
        <w:rPr>
          <w:rFonts w:ascii="Times New Roman" w:hAnsi="Times New Roman" w:cs="Times New Roman"/>
          <w:sz w:val="24"/>
          <w:szCs w:val="24"/>
        </w:rPr>
      </w:pPr>
    </w:p>
    <w:p w:rsidR="002D6087" w:rsidRDefault="002D6087" w:rsidP="0006161B">
      <w:pPr>
        <w:pStyle w:val="ListParagraph"/>
        <w:numPr>
          <w:ilvl w:val="0"/>
          <w:numId w:val="50"/>
        </w:numPr>
        <w:ind w:left="1134"/>
        <w:jc w:val="both"/>
        <w:rPr>
          <w:rFonts w:ascii="Times New Roman" w:hAnsi="Times New Roman" w:cs="Times New Roman"/>
          <w:sz w:val="24"/>
          <w:szCs w:val="24"/>
        </w:rPr>
      </w:pPr>
      <w:r>
        <w:rPr>
          <w:rFonts w:ascii="Times New Roman" w:hAnsi="Times New Roman" w:cs="Times New Roman"/>
          <w:sz w:val="24"/>
          <w:szCs w:val="24"/>
        </w:rPr>
        <w:t xml:space="preserve">RMD için </w:t>
      </w:r>
      <w:r w:rsidR="009C0766">
        <w:rPr>
          <w:rFonts w:ascii="Times New Roman" w:hAnsi="Times New Roman" w:cs="Times New Roman"/>
          <w:sz w:val="24"/>
          <w:szCs w:val="24"/>
        </w:rPr>
        <w:t xml:space="preserve">risk yönetim prosedürlerinde </w:t>
      </w:r>
      <w:r w:rsidR="003C0A07">
        <w:rPr>
          <w:rFonts w:ascii="Times New Roman" w:hAnsi="Times New Roman" w:cs="Times New Roman"/>
          <w:sz w:val="24"/>
          <w:szCs w:val="24"/>
        </w:rPr>
        <w:t>belirlenen</w:t>
      </w:r>
      <w:r w:rsidR="00FB2B3C">
        <w:rPr>
          <w:rFonts w:ascii="Times New Roman" w:hAnsi="Times New Roman" w:cs="Times New Roman"/>
          <w:sz w:val="24"/>
          <w:szCs w:val="24"/>
        </w:rPr>
        <w:t xml:space="preserve"> </w:t>
      </w:r>
      <w:r>
        <w:rPr>
          <w:rFonts w:ascii="Times New Roman" w:hAnsi="Times New Roman" w:cs="Times New Roman"/>
          <w:sz w:val="24"/>
          <w:szCs w:val="24"/>
        </w:rPr>
        <w:t>limit fonun risk profiline uygun olmalıdır. Bu çerçevede, gerekli hallerde RMD değeri için bu Rehber’de belirlenen limitler</w:t>
      </w:r>
      <w:r w:rsidR="00602561">
        <w:rPr>
          <w:rFonts w:ascii="Times New Roman" w:hAnsi="Times New Roman" w:cs="Times New Roman"/>
          <w:sz w:val="24"/>
          <w:szCs w:val="24"/>
        </w:rPr>
        <w:t>den daha düşük</w:t>
      </w:r>
      <w:r>
        <w:rPr>
          <w:rFonts w:ascii="Times New Roman" w:hAnsi="Times New Roman" w:cs="Times New Roman"/>
          <w:sz w:val="24"/>
          <w:szCs w:val="24"/>
        </w:rPr>
        <w:t xml:space="preserve"> bir limit belirlenmelidir.  </w:t>
      </w:r>
    </w:p>
    <w:p w:rsidR="003C0A07" w:rsidRDefault="003C0A07" w:rsidP="003C0A07">
      <w:pPr>
        <w:pStyle w:val="ListParagraph"/>
        <w:ind w:left="1134"/>
        <w:jc w:val="both"/>
        <w:rPr>
          <w:rFonts w:ascii="Times New Roman" w:hAnsi="Times New Roman" w:cs="Times New Roman"/>
          <w:sz w:val="24"/>
          <w:szCs w:val="24"/>
        </w:rPr>
      </w:pPr>
    </w:p>
    <w:p w:rsidR="002D6087" w:rsidRDefault="002D6087" w:rsidP="0006161B">
      <w:pPr>
        <w:pStyle w:val="ListParagraph"/>
        <w:numPr>
          <w:ilvl w:val="0"/>
          <w:numId w:val="50"/>
        </w:numPr>
        <w:ind w:left="1134"/>
        <w:jc w:val="both"/>
        <w:rPr>
          <w:rFonts w:ascii="Times New Roman" w:hAnsi="Times New Roman" w:cs="Times New Roman"/>
          <w:sz w:val="24"/>
          <w:szCs w:val="24"/>
        </w:rPr>
      </w:pPr>
      <w:r w:rsidRPr="009F5C96">
        <w:rPr>
          <w:rFonts w:ascii="Times New Roman" w:hAnsi="Times New Roman" w:cs="Times New Roman"/>
          <w:sz w:val="24"/>
          <w:szCs w:val="24"/>
        </w:rPr>
        <w:t>Fonun yatırım stratejisi ve risk profili dikkate alınarak, “Göreli RMD” veya “Mutlak RMD” yöntemleri arasında</w:t>
      </w:r>
      <w:r w:rsidR="009C0766">
        <w:rPr>
          <w:rFonts w:ascii="Times New Roman" w:hAnsi="Times New Roman" w:cs="Times New Roman"/>
          <w:sz w:val="24"/>
          <w:szCs w:val="24"/>
        </w:rPr>
        <w:t>n</w:t>
      </w:r>
      <w:r w:rsidRPr="009F5C96">
        <w:rPr>
          <w:rFonts w:ascii="Times New Roman" w:hAnsi="Times New Roman" w:cs="Times New Roman"/>
          <w:sz w:val="24"/>
          <w:szCs w:val="24"/>
        </w:rPr>
        <w:t xml:space="preserve"> bir seçim yapıl</w:t>
      </w:r>
      <w:r>
        <w:rPr>
          <w:rFonts w:ascii="Times New Roman" w:hAnsi="Times New Roman" w:cs="Times New Roman"/>
          <w:sz w:val="24"/>
          <w:szCs w:val="24"/>
        </w:rPr>
        <w:t>malıdır</w:t>
      </w:r>
      <w:r w:rsidRPr="009F5C96">
        <w:rPr>
          <w:rFonts w:ascii="Times New Roman" w:hAnsi="Times New Roman" w:cs="Times New Roman"/>
          <w:sz w:val="24"/>
          <w:szCs w:val="24"/>
        </w:rPr>
        <w:t xml:space="preserve">. Bu çerçevede, fonun yatırım stratejisine uygun bir karşılaştırma ölçütü bulunan fonlar tarafından “Göreli RMD” yönteminin; </w:t>
      </w:r>
      <w:r>
        <w:rPr>
          <w:rFonts w:ascii="Times New Roman" w:hAnsi="Times New Roman" w:cs="Times New Roman"/>
          <w:sz w:val="24"/>
          <w:szCs w:val="24"/>
        </w:rPr>
        <w:t>eşik değer</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belirleyen</w:t>
      </w:r>
      <w:r w:rsidRPr="009F5C96">
        <w:rPr>
          <w:rFonts w:ascii="Times New Roman" w:hAnsi="Times New Roman" w:cs="Times New Roman"/>
          <w:sz w:val="24"/>
          <w:szCs w:val="24"/>
        </w:rPr>
        <w:t xml:space="preserve"> fonlar tarafından ise “Mutlak RMD” yönteminin kullanılması esastır. </w:t>
      </w:r>
      <w:r w:rsidRPr="00B56100">
        <w:rPr>
          <w:rFonts w:ascii="Times New Roman" w:hAnsi="Times New Roman" w:cs="Times New Roman"/>
          <w:sz w:val="24"/>
          <w:szCs w:val="24"/>
        </w:rPr>
        <w:t>Bu</w:t>
      </w:r>
      <w:r>
        <w:rPr>
          <w:rFonts w:ascii="Times New Roman" w:hAnsi="Times New Roman" w:cs="Times New Roman"/>
          <w:sz w:val="24"/>
          <w:szCs w:val="24"/>
        </w:rPr>
        <w:t xml:space="preserve"> kapsamda:</w:t>
      </w:r>
    </w:p>
    <w:p w:rsidR="002D6087" w:rsidRPr="00880274" w:rsidRDefault="002D6087" w:rsidP="0006161B">
      <w:pPr>
        <w:pStyle w:val="ListParagraph"/>
        <w:numPr>
          <w:ilvl w:val="0"/>
          <w:numId w:val="51"/>
        </w:numPr>
        <w:ind w:left="1701" w:hanging="142"/>
        <w:jc w:val="both"/>
        <w:rPr>
          <w:rFonts w:ascii="Times New Roman" w:hAnsi="Times New Roman" w:cs="Times New Roman"/>
          <w:sz w:val="24"/>
          <w:szCs w:val="24"/>
        </w:rPr>
      </w:pPr>
      <w:r w:rsidRPr="00880274">
        <w:rPr>
          <w:rFonts w:ascii="Times New Roman" w:hAnsi="Times New Roman" w:cs="Times New Roman"/>
          <w:sz w:val="24"/>
          <w:szCs w:val="24"/>
        </w:rPr>
        <w:t>Kurucu, fonun yatırım stratejisine ve risk profiline uygun bir RMD yönteminin seçilmesinden sorumlu olup, yöntem seçimine dayanak teşkil eden bilgi ve belgeler Kurucu nezdinde muhafaza edilmelidir.</w:t>
      </w:r>
    </w:p>
    <w:p w:rsidR="002D6087" w:rsidRDefault="002D6087" w:rsidP="0006161B">
      <w:pPr>
        <w:pStyle w:val="ListParagraph"/>
        <w:numPr>
          <w:ilvl w:val="0"/>
          <w:numId w:val="51"/>
        </w:numPr>
        <w:ind w:left="1701" w:hanging="142"/>
        <w:jc w:val="both"/>
        <w:rPr>
          <w:rFonts w:ascii="Times New Roman" w:hAnsi="Times New Roman" w:cs="Times New Roman"/>
          <w:sz w:val="24"/>
          <w:szCs w:val="24"/>
        </w:rPr>
      </w:pPr>
      <w:r>
        <w:rPr>
          <w:rFonts w:ascii="Times New Roman" w:hAnsi="Times New Roman" w:cs="Times New Roman"/>
          <w:sz w:val="24"/>
          <w:szCs w:val="24"/>
        </w:rPr>
        <w:t xml:space="preserve">Kullanılan RMD yöntemi, yalnızca bu Rehber’de belirlenen esaslar çerçevesinde makul bir gerekçenin varlığı halinde değiştirilebilir. </w:t>
      </w:r>
    </w:p>
    <w:p w:rsidR="002D6087" w:rsidRPr="00BD2ED0" w:rsidRDefault="002D6087" w:rsidP="0006161B">
      <w:pPr>
        <w:pStyle w:val="ListParagraph"/>
        <w:numPr>
          <w:ilvl w:val="0"/>
          <w:numId w:val="50"/>
        </w:numPr>
        <w:ind w:left="1134"/>
        <w:jc w:val="both"/>
        <w:rPr>
          <w:rFonts w:ascii="Times New Roman" w:hAnsi="Times New Roman" w:cs="Times New Roman"/>
          <w:sz w:val="24"/>
          <w:szCs w:val="24"/>
        </w:rPr>
      </w:pPr>
      <w:r w:rsidRPr="00BD2ED0">
        <w:rPr>
          <w:rFonts w:ascii="Times New Roman" w:hAnsi="Times New Roman" w:cs="Times New Roman"/>
          <w:sz w:val="24"/>
          <w:szCs w:val="24"/>
        </w:rPr>
        <w:t>RMD hesaplama</w:t>
      </w:r>
      <w:r>
        <w:rPr>
          <w:rFonts w:ascii="Times New Roman" w:hAnsi="Times New Roman" w:cs="Times New Roman"/>
          <w:sz w:val="24"/>
          <w:szCs w:val="24"/>
        </w:rPr>
        <w:t>sında</w:t>
      </w:r>
      <w:r w:rsidR="00A17CE5">
        <w:rPr>
          <w:rFonts w:ascii="Times New Roman" w:hAnsi="Times New Roman" w:cs="Times New Roman"/>
          <w:sz w:val="24"/>
          <w:szCs w:val="24"/>
        </w:rPr>
        <w:t xml:space="preserve"> </w:t>
      </w:r>
      <w:r>
        <w:rPr>
          <w:rFonts w:ascii="Times New Roman" w:hAnsi="Times New Roman" w:cs="Times New Roman"/>
          <w:sz w:val="24"/>
          <w:szCs w:val="24"/>
        </w:rPr>
        <w:t xml:space="preserve">aşağıdaki esaslar </w:t>
      </w:r>
      <w:r w:rsidRPr="00BD2ED0">
        <w:rPr>
          <w:rFonts w:ascii="Times New Roman" w:hAnsi="Times New Roman" w:cs="Times New Roman"/>
          <w:sz w:val="24"/>
          <w:szCs w:val="24"/>
        </w:rPr>
        <w:t>dikkate alınır</w:t>
      </w:r>
      <w:r>
        <w:rPr>
          <w:rFonts w:ascii="Times New Roman" w:hAnsi="Times New Roman" w:cs="Times New Roman"/>
          <w:sz w:val="24"/>
          <w:szCs w:val="24"/>
        </w:rPr>
        <w:t>:</w:t>
      </w:r>
    </w:p>
    <w:p w:rsidR="002D6087" w:rsidRDefault="002D6087" w:rsidP="0006161B">
      <w:pPr>
        <w:pStyle w:val="ListParagraph"/>
        <w:numPr>
          <w:ilvl w:val="0"/>
          <w:numId w:val="53"/>
        </w:numPr>
        <w:ind w:left="1701" w:hanging="142"/>
        <w:jc w:val="both"/>
        <w:rPr>
          <w:rFonts w:ascii="Times New Roman" w:hAnsi="Times New Roman" w:cs="Times New Roman"/>
          <w:sz w:val="24"/>
          <w:szCs w:val="24"/>
        </w:rPr>
      </w:pPr>
      <w:r>
        <w:rPr>
          <w:rFonts w:ascii="Times New Roman" w:hAnsi="Times New Roman" w:cs="Times New Roman"/>
          <w:sz w:val="24"/>
          <w:szCs w:val="24"/>
        </w:rPr>
        <w:t>T</w:t>
      </w:r>
      <w:r w:rsidRPr="007C4A08">
        <w:rPr>
          <w:rFonts w:ascii="Times New Roman" w:hAnsi="Times New Roman" w:cs="Times New Roman"/>
          <w:sz w:val="24"/>
          <w:szCs w:val="24"/>
        </w:rPr>
        <w:t xml:space="preserve">ek taraflı </w:t>
      </w:r>
      <w:r>
        <w:rPr>
          <w:rFonts w:ascii="Times New Roman" w:hAnsi="Times New Roman" w:cs="Times New Roman"/>
          <w:sz w:val="24"/>
          <w:szCs w:val="24"/>
        </w:rPr>
        <w:t xml:space="preserve">%99 </w:t>
      </w:r>
      <w:r w:rsidRPr="007C4A08">
        <w:rPr>
          <w:rFonts w:ascii="Times New Roman" w:hAnsi="Times New Roman" w:cs="Times New Roman"/>
          <w:sz w:val="24"/>
          <w:szCs w:val="24"/>
        </w:rPr>
        <w:t>güven aralığı</w:t>
      </w:r>
      <w:r>
        <w:rPr>
          <w:rFonts w:ascii="Times New Roman" w:hAnsi="Times New Roman" w:cs="Times New Roman"/>
          <w:sz w:val="24"/>
          <w:szCs w:val="24"/>
        </w:rPr>
        <w:t xml:space="preserve">, </w:t>
      </w:r>
    </w:p>
    <w:p w:rsidR="002D6087" w:rsidRDefault="002D6087" w:rsidP="0006161B">
      <w:pPr>
        <w:pStyle w:val="ListParagraph"/>
        <w:numPr>
          <w:ilvl w:val="0"/>
          <w:numId w:val="53"/>
        </w:numPr>
        <w:ind w:left="1701" w:hanging="142"/>
        <w:jc w:val="both"/>
        <w:rPr>
          <w:rFonts w:ascii="Times New Roman" w:hAnsi="Times New Roman" w:cs="Times New Roman"/>
          <w:sz w:val="24"/>
          <w:szCs w:val="24"/>
        </w:rPr>
      </w:pPr>
      <w:r>
        <w:rPr>
          <w:rFonts w:ascii="Times New Roman" w:hAnsi="Times New Roman" w:cs="Times New Roman"/>
          <w:sz w:val="24"/>
          <w:szCs w:val="24"/>
        </w:rPr>
        <w:t>1 aylık (20 iş</w:t>
      </w:r>
      <w:r w:rsidR="00A17CE5">
        <w:rPr>
          <w:rFonts w:ascii="Times New Roman" w:hAnsi="Times New Roman" w:cs="Times New Roman"/>
          <w:sz w:val="24"/>
          <w:szCs w:val="24"/>
        </w:rPr>
        <w:t xml:space="preserve"> </w:t>
      </w:r>
      <w:r>
        <w:rPr>
          <w:rFonts w:ascii="Times New Roman" w:hAnsi="Times New Roman" w:cs="Times New Roman"/>
          <w:sz w:val="24"/>
          <w:szCs w:val="24"/>
        </w:rPr>
        <w:t>günü) elde tutma süresi,</w:t>
      </w:r>
    </w:p>
    <w:p w:rsidR="00A65822" w:rsidRDefault="002D6087" w:rsidP="0006161B">
      <w:pPr>
        <w:pStyle w:val="ListParagraph"/>
        <w:numPr>
          <w:ilvl w:val="0"/>
          <w:numId w:val="53"/>
        </w:numPr>
        <w:ind w:left="1701" w:hanging="142"/>
        <w:jc w:val="both"/>
        <w:rPr>
          <w:rFonts w:ascii="Times New Roman" w:hAnsi="Times New Roman" w:cs="Times New Roman"/>
          <w:sz w:val="24"/>
          <w:szCs w:val="24"/>
        </w:rPr>
      </w:pPr>
      <w:r>
        <w:rPr>
          <w:rFonts w:ascii="Times New Roman" w:hAnsi="Times New Roman" w:cs="Times New Roman"/>
          <w:sz w:val="24"/>
          <w:szCs w:val="24"/>
        </w:rPr>
        <w:t>En az 1 yıllık (250 iş</w:t>
      </w:r>
      <w:r w:rsidR="00A17CE5">
        <w:rPr>
          <w:rFonts w:ascii="Times New Roman" w:hAnsi="Times New Roman" w:cs="Times New Roman"/>
          <w:sz w:val="24"/>
          <w:szCs w:val="24"/>
        </w:rPr>
        <w:t xml:space="preserve"> </w:t>
      </w:r>
      <w:r>
        <w:rPr>
          <w:rFonts w:ascii="Times New Roman" w:hAnsi="Times New Roman" w:cs="Times New Roman"/>
          <w:sz w:val="24"/>
          <w:szCs w:val="24"/>
        </w:rPr>
        <w:t>günü) gözlem süresi</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w:t>
      </w:r>
    </w:p>
    <w:p w:rsidR="002D6087" w:rsidRPr="003C1B17" w:rsidRDefault="002D6087" w:rsidP="0006161B">
      <w:pPr>
        <w:pStyle w:val="ListParagraph"/>
        <w:numPr>
          <w:ilvl w:val="0"/>
          <w:numId w:val="53"/>
        </w:numPr>
        <w:ind w:left="1701" w:hanging="142"/>
        <w:jc w:val="both"/>
        <w:rPr>
          <w:rFonts w:ascii="Times New Roman" w:hAnsi="Times New Roman" w:cs="Times New Roman"/>
          <w:sz w:val="24"/>
          <w:szCs w:val="24"/>
        </w:rPr>
      </w:pPr>
      <w:r w:rsidRPr="003C1B17">
        <w:rPr>
          <w:rFonts w:ascii="Times New Roman" w:hAnsi="Times New Roman" w:cs="Times New Roman"/>
          <w:sz w:val="24"/>
          <w:szCs w:val="24"/>
        </w:rPr>
        <w:t xml:space="preserve">Kullanılan </w:t>
      </w:r>
      <w:r w:rsidR="00A65822" w:rsidRPr="003C1B17">
        <w:rPr>
          <w:rFonts w:ascii="Times New Roman" w:hAnsi="Times New Roman" w:cs="Times New Roman"/>
          <w:sz w:val="24"/>
          <w:szCs w:val="24"/>
        </w:rPr>
        <w:t>varsayımların</w:t>
      </w:r>
      <w:r w:rsidR="009C0766" w:rsidRPr="003C1B17">
        <w:rPr>
          <w:rFonts w:ascii="Times New Roman" w:hAnsi="Times New Roman" w:cs="Times New Roman"/>
          <w:sz w:val="24"/>
          <w:szCs w:val="24"/>
        </w:rPr>
        <w:t xml:space="preserve"> en az </w:t>
      </w:r>
      <w:r w:rsidRPr="003C1B17">
        <w:rPr>
          <w:rFonts w:ascii="Times New Roman" w:hAnsi="Times New Roman" w:cs="Times New Roman"/>
          <w:sz w:val="24"/>
          <w:szCs w:val="24"/>
        </w:rPr>
        <w:t>1 yıllık dönemler itibarıyla</w:t>
      </w:r>
      <w:r w:rsidR="00A17CE5" w:rsidRPr="003C1B17">
        <w:rPr>
          <w:rFonts w:ascii="Times New Roman" w:hAnsi="Times New Roman" w:cs="Times New Roman"/>
          <w:sz w:val="24"/>
          <w:szCs w:val="24"/>
        </w:rPr>
        <w:t xml:space="preserve"> </w:t>
      </w:r>
      <w:r w:rsidR="00A65822" w:rsidRPr="003C1B17">
        <w:rPr>
          <w:rFonts w:ascii="Times New Roman" w:hAnsi="Times New Roman" w:cs="Times New Roman"/>
          <w:sz w:val="24"/>
          <w:szCs w:val="24"/>
        </w:rPr>
        <w:t>gözden geçirilmesi</w:t>
      </w:r>
      <w:r w:rsidRPr="003C1B17">
        <w:rPr>
          <w:rFonts w:ascii="Times New Roman" w:hAnsi="Times New Roman" w:cs="Times New Roman"/>
          <w:sz w:val="24"/>
          <w:szCs w:val="24"/>
        </w:rPr>
        <w:t xml:space="preserve">, </w:t>
      </w:r>
    </w:p>
    <w:p w:rsidR="002D6087" w:rsidRPr="00B50A5B" w:rsidRDefault="002D6087" w:rsidP="0006161B">
      <w:pPr>
        <w:pStyle w:val="ListParagraph"/>
        <w:numPr>
          <w:ilvl w:val="0"/>
          <w:numId w:val="53"/>
        </w:numPr>
        <w:ind w:left="1701" w:hanging="142"/>
        <w:jc w:val="both"/>
        <w:rPr>
          <w:rFonts w:ascii="Times New Roman" w:hAnsi="Times New Roman" w:cs="Times New Roman"/>
          <w:sz w:val="24"/>
          <w:szCs w:val="24"/>
        </w:rPr>
      </w:pPr>
      <w:r w:rsidRPr="00880274">
        <w:rPr>
          <w:rFonts w:ascii="Times New Roman" w:hAnsi="Times New Roman" w:cs="Times New Roman"/>
          <w:sz w:val="24"/>
          <w:szCs w:val="24"/>
        </w:rPr>
        <w:t>En az günlük</w:t>
      </w:r>
      <w:r w:rsidRPr="00B50A5B">
        <w:rPr>
          <w:rFonts w:ascii="Times New Roman" w:hAnsi="Times New Roman" w:cs="Times New Roman"/>
          <w:sz w:val="24"/>
          <w:szCs w:val="24"/>
        </w:rPr>
        <w:t xml:space="preserve"> olarak hesaplama yapılması.</w:t>
      </w:r>
    </w:p>
    <w:p w:rsidR="002D6087" w:rsidRDefault="002D6087" w:rsidP="0006161B">
      <w:pPr>
        <w:pStyle w:val="ListParagraph"/>
        <w:numPr>
          <w:ilvl w:val="0"/>
          <w:numId w:val="50"/>
        </w:numPr>
        <w:ind w:left="1134"/>
        <w:jc w:val="both"/>
        <w:rPr>
          <w:rFonts w:ascii="Times New Roman" w:hAnsi="Times New Roman" w:cs="Times New Roman"/>
          <w:sz w:val="24"/>
          <w:szCs w:val="24"/>
        </w:rPr>
      </w:pPr>
      <w:r>
        <w:rPr>
          <w:rFonts w:ascii="Times New Roman" w:hAnsi="Times New Roman" w:cs="Times New Roman"/>
          <w:sz w:val="24"/>
          <w:szCs w:val="24"/>
        </w:rPr>
        <w:t>RMD’nin hesaplanmasında uygulanabilecek çeşitli modeller</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arasından uygulanacak modelin seçilmesinde fonun yatırım stratejisinin içerdiği risk seviyesi ile fon portföyüne dahil edilecek finansal araçların türü ve karmaşıklığı dikkate alınır.</w:t>
      </w:r>
    </w:p>
    <w:p w:rsidR="002D6087" w:rsidRDefault="002D6087" w:rsidP="0006161B">
      <w:pPr>
        <w:pStyle w:val="ListParagraph"/>
        <w:numPr>
          <w:ilvl w:val="0"/>
          <w:numId w:val="50"/>
        </w:numPr>
        <w:ind w:left="1134"/>
        <w:jc w:val="both"/>
        <w:rPr>
          <w:rFonts w:ascii="Times New Roman" w:hAnsi="Times New Roman" w:cs="Times New Roman"/>
          <w:sz w:val="24"/>
          <w:szCs w:val="24"/>
        </w:rPr>
      </w:pPr>
      <w:r>
        <w:rPr>
          <w:rFonts w:ascii="Times New Roman" w:hAnsi="Times New Roman" w:cs="Times New Roman"/>
          <w:sz w:val="24"/>
          <w:szCs w:val="24"/>
        </w:rPr>
        <w:t xml:space="preserve">Kullanılan RMD modeli ile fon portföyünün içerdiği riskler tam olarak ve doğru şekilde ölçülmelidir. Bu kapsamda; </w:t>
      </w:r>
    </w:p>
    <w:p w:rsidR="002D6087" w:rsidRDefault="002D6087" w:rsidP="0006161B">
      <w:pPr>
        <w:pStyle w:val="ListParagraph"/>
        <w:numPr>
          <w:ilvl w:val="0"/>
          <w:numId w:val="14"/>
        </w:numPr>
        <w:ind w:left="1701" w:hanging="153"/>
        <w:jc w:val="both"/>
        <w:rPr>
          <w:rFonts w:ascii="Times New Roman" w:hAnsi="Times New Roman" w:cs="Times New Roman"/>
          <w:sz w:val="24"/>
          <w:szCs w:val="24"/>
        </w:rPr>
      </w:pPr>
      <w:r w:rsidRPr="006A1B34">
        <w:rPr>
          <w:rFonts w:ascii="Times New Roman" w:hAnsi="Times New Roman" w:cs="Times New Roman"/>
          <w:sz w:val="24"/>
          <w:szCs w:val="24"/>
        </w:rPr>
        <w:t>RMD hesaplamalarına fon portföyünde yer alan tüm varlık ve işlemler</w:t>
      </w:r>
      <w:r w:rsidR="00AC7EF8">
        <w:rPr>
          <w:rFonts w:ascii="Times New Roman" w:hAnsi="Times New Roman" w:cs="Times New Roman"/>
          <w:sz w:val="24"/>
          <w:szCs w:val="24"/>
        </w:rPr>
        <w:t xml:space="preserve"> </w:t>
      </w:r>
      <w:r w:rsidRPr="006A1B34">
        <w:rPr>
          <w:rFonts w:ascii="Times New Roman" w:hAnsi="Times New Roman" w:cs="Times New Roman"/>
          <w:sz w:val="24"/>
          <w:szCs w:val="24"/>
        </w:rPr>
        <w:t xml:space="preserve">dahil edilir. </w:t>
      </w:r>
    </w:p>
    <w:p w:rsidR="002D6087" w:rsidRDefault="002D6087" w:rsidP="0006161B">
      <w:pPr>
        <w:pStyle w:val="ListParagraph"/>
        <w:numPr>
          <w:ilvl w:val="0"/>
          <w:numId w:val="14"/>
        </w:numPr>
        <w:ind w:left="1701" w:hanging="153"/>
        <w:jc w:val="both"/>
        <w:rPr>
          <w:rFonts w:ascii="Times New Roman" w:hAnsi="Times New Roman" w:cs="Times New Roman"/>
          <w:sz w:val="24"/>
          <w:szCs w:val="24"/>
        </w:rPr>
      </w:pPr>
      <w:r>
        <w:rPr>
          <w:rFonts w:ascii="Times New Roman" w:hAnsi="Times New Roman" w:cs="Times New Roman"/>
          <w:sz w:val="24"/>
          <w:szCs w:val="24"/>
        </w:rPr>
        <w:t>RMD modeli</w:t>
      </w:r>
      <w:r w:rsidR="00DF4105">
        <w:rPr>
          <w:rFonts w:ascii="Times New Roman" w:hAnsi="Times New Roman" w:cs="Times New Roman"/>
          <w:sz w:val="24"/>
          <w:szCs w:val="24"/>
        </w:rPr>
        <w:t>, türev araçlardan kaynaklanan riskleri de içerecek şekilde</w:t>
      </w:r>
      <w:r>
        <w:rPr>
          <w:rFonts w:ascii="Times New Roman" w:hAnsi="Times New Roman" w:cs="Times New Roman"/>
          <w:sz w:val="24"/>
          <w:szCs w:val="24"/>
        </w:rPr>
        <w:t xml:space="preserve"> fon portföyünün içerdiği önemli piyasa riskleri</w:t>
      </w:r>
      <w:r w:rsidR="00DF4105">
        <w:rPr>
          <w:rFonts w:ascii="Times New Roman" w:hAnsi="Times New Roman" w:cs="Times New Roman"/>
          <w:sz w:val="24"/>
          <w:szCs w:val="24"/>
        </w:rPr>
        <w:t>ni</w:t>
      </w:r>
      <w:r>
        <w:rPr>
          <w:rFonts w:ascii="Times New Roman" w:hAnsi="Times New Roman" w:cs="Times New Roman"/>
          <w:sz w:val="24"/>
          <w:szCs w:val="24"/>
        </w:rPr>
        <w:t xml:space="preserve"> yeterli şekilde kapsamalıdır. Dolayısıyla model, fon portföy değerine etki edebilecek, ihmal edilebilir düzeyin üzerindeki tüm risk faktörlerini</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içermelidir.  </w:t>
      </w:r>
    </w:p>
    <w:p w:rsidR="002D6087" w:rsidRDefault="002D6087" w:rsidP="0006161B">
      <w:pPr>
        <w:pStyle w:val="ListParagraph"/>
        <w:numPr>
          <w:ilvl w:val="0"/>
          <w:numId w:val="14"/>
        </w:numPr>
        <w:ind w:left="1701" w:hanging="153"/>
        <w:jc w:val="both"/>
        <w:rPr>
          <w:rFonts w:ascii="Times New Roman" w:hAnsi="Times New Roman" w:cs="Times New Roman"/>
          <w:sz w:val="24"/>
          <w:szCs w:val="24"/>
        </w:rPr>
      </w:pPr>
      <w:r>
        <w:rPr>
          <w:rFonts w:ascii="Times New Roman" w:hAnsi="Times New Roman" w:cs="Times New Roman"/>
          <w:sz w:val="24"/>
          <w:szCs w:val="24"/>
        </w:rPr>
        <w:t xml:space="preserve">RMD modeli çerçevesinde kullanılan sayısal yöntemler (fiyatlama yöntemleri, oynaklık ve korelasyon tahminleri, vb.) riskin doğru şekilde ölçülmesine imkan sağlamalıdır. </w:t>
      </w:r>
    </w:p>
    <w:p w:rsidR="002D6087" w:rsidRDefault="002D6087" w:rsidP="0006161B">
      <w:pPr>
        <w:pStyle w:val="ListParagraph"/>
        <w:numPr>
          <w:ilvl w:val="0"/>
          <w:numId w:val="14"/>
        </w:numPr>
        <w:ind w:left="1701" w:hanging="153"/>
        <w:jc w:val="both"/>
        <w:rPr>
          <w:rFonts w:ascii="Times New Roman" w:hAnsi="Times New Roman" w:cs="Times New Roman"/>
          <w:sz w:val="24"/>
          <w:szCs w:val="24"/>
        </w:rPr>
      </w:pPr>
      <w:r>
        <w:rPr>
          <w:rFonts w:ascii="Times New Roman" w:hAnsi="Times New Roman" w:cs="Times New Roman"/>
          <w:sz w:val="24"/>
          <w:szCs w:val="24"/>
        </w:rPr>
        <w:t>RMD modeli çerçevesinde kullanılan veriler tutarlı, güncel (timeliness) ve güvenilir olmalıdır.</w:t>
      </w:r>
    </w:p>
    <w:p w:rsidR="007043C9" w:rsidRDefault="007043C9" w:rsidP="007043C9">
      <w:pPr>
        <w:pStyle w:val="ListParagraph"/>
        <w:ind w:left="1701"/>
        <w:jc w:val="both"/>
        <w:rPr>
          <w:rFonts w:ascii="Times New Roman" w:hAnsi="Times New Roman" w:cs="Times New Roman"/>
          <w:sz w:val="24"/>
          <w:szCs w:val="24"/>
        </w:rPr>
      </w:pPr>
    </w:p>
    <w:p w:rsidR="002D6087" w:rsidRDefault="002D6087" w:rsidP="00F47904">
      <w:pPr>
        <w:pStyle w:val="Heading3"/>
      </w:pPr>
      <w:bookmarkStart w:id="244" w:name="_Toc130312604"/>
      <w:bookmarkStart w:id="245" w:name="_Toc130312737"/>
      <w:r>
        <w:t>7.6.</w:t>
      </w:r>
      <w:r w:rsidR="00F47904">
        <w:t>2</w:t>
      </w:r>
      <w:r>
        <w:t>. Mutlak RMD Yöntemi ve Göreli RMD Yöntemi</w:t>
      </w:r>
      <w:bookmarkEnd w:id="244"/>
      <w:bookmarkEnd w:id="245"/>
    </w:p>
    <w:p w:rsidR="00F47904" w:rsidRPr="00F47904" w:rsidRDefault="00F47904" w:rsidP="00F47904"/>
    <w:p w:rsidR="002D6087" w:rsidRDefault="002D6087" w:rsidP="00AF04C0">
      <w:pPr>
        <w:pStyle w:val="ListParagraph"/>
        <w:ind w:left="0" w:firstLine="708"/>
        <w:jc w:val="both"/>
        <w:rPr>
          <w:rFonts w:ascii="Times New Roman" w:hAnsi="Times New Roman" w:cs="Times New Roman"/>
          <w:sz w:val="24"/>
          <w:szCs w:val="24"/>
        </w:rPr>
      </w:pPr>
      <w:r w:rsidRPr="009F5C96">
        <w:rPr>
          <w:rFonts w:ascii="Times New Roman" w:hAnsi="Times New Roman" w:cs="Times New Roman"/>
          <w:sz w:val="24"/>
          <w:szCs w:val="24"/>
        </w:rPr>
        <w:t>Mutlak RMD, bir fonun riske maruz değerinin fon toplam değerinin belirli bir oranıy</w:t>
      </w:r>
      <w:r>
        <w:rPr>
          <w:rFonts w:ascii="Times New Roman" w:hAnsi="Times New Roman" w:cs="Times New Roman"/>
          <w:sz w:val="24"/>
          <w:szCs w:val="24"/>
        </w:rPr>
        <w:t>la sınırlandırılması yöntemidir. Bu kapsamda,</w:t>
      </w:r>
      <w:r w:rsidR="00FB2B3C">
        <w:rPr>
          <w:rFonts w:ascii="Times New Roman" w:hAnsi="Times New Roman" w:cs="Times New Roman"/>
          <w:sz w:val="24"/>
          <w:szCs w:val="24"/>
        </w:rPr>
        <w:t xml:space="preserve"> </w:t>
      </w:r>
      <w:r>
        <w:rPr>
          <w:rFonts w:ascii="Times New Roman" w:hAnsi="Times New Roman" w:cs="Times New Roman"/>
          <w:sz w:val="24"/>
          <w:szCs w:val="24"/>
        </w:rPr>
        <w:t>b</w:t>
      </w:r>
      <w:r w:rsidRPr="00C45BB4">
        <w:rPr>
          <w:rFonts w:ascii="Times New Roman" w:hAnsi="Times New Roman" w:cs="Times New Roman"/>
          <w:sz w:val="24"/>
          <w:szCs w:val="24"/>
        </w:rPr>
        <w:t xml:space="preserve">ir fonun </w:t>
      </w:r>
      <w:r>
        <w:rPr>
          <w:rFonts w:ascii="Times New Roman" w:hAnsi="Times New Roman" w:cs="Times New Roman"/>
          <w:sz w:val="24"/>
          <w:szCs w:val="24"/>
        </w:rPr>
        <w:t>mutlak</w:t>
      </w:r>
      <w:r w:rsidR="00AC7EF8">
        <w:rPr>
          <w:rFonts w:ascii="Times New Roman" w:hAnsi="Times New Roman" w:cs="Times New Roman"/>
          <w:sz w:val="24"/>
          <w:szCs w:val="24"/>
        </w:rPr>
        <w:t xml:space="preserve"> </w:t>
      </w:r>
      <w:r>
        <w:rPr>
          <w:rFonts w:ascii="Times New Roman" w:hAnsi="Times New Roman" w:cs="Times New Roman"/>
          <w:sz w:val="24"/>
          <w:szCs w:val="24"/>
        </w:rPr>
        <w:t xml:space="preserve">riske maruz değeri </w:t>
      </w:r>
      <w:r w:rsidRPr="00C45BB4">
        <w:rPr>
          <w:rFonts w:ascii="Times New Roman" w:hAnsi="Times New Roman" w:cs="Times New Roman"/>
          <w:sz w:val="24"/>
          <w:szCs w:val="24"/>
        </w:rPr>
        <w:t xml:space="preserve">fon toplam değerinin </w:t>
      </w:r>
      <w:r w:rsidRPr="00DB6C75">
        <w:rPr>
          <w:rFonts w:ascii="Times New Roman" w:hAnsi="Times New Roman" w:cs="Times New Roman"/>
          <w:sz w:val="24"/>
          <w:szCs w:val="24"/>
        </w:rPr>
        <w:t>%2</w:t>
      </w:r>
      <w:r w:rsidR="00976048">
        <w:rPr>
          <w:rFonts w:ascii="Times New Roman" w:hAnsi="Times New Roman" w:cs="Times New Roman"/>
          <w:sz w:val="24"/>
          <w:szCs w:val="24"/>
        </w:rPr>
        <w:t>5</w:t>
      </w:r>
      <w:r w:rsidRPr="00DB6C75">
        <w:rPr>
          <w:rFonts w:ascii="Times New Roman" w:hAnsi="Times New Roman" w:cs="Times New Roman"/>
          <w:sz w:val="24"/>
          <w:szCs w:val="24"/>
        </w:rPr>
        <w:t>’ini</w:t>
      </w:r>
      <w:r w:rsidR="00284ADC">
        <w:rPr>
          <w:rStyle w:val="FootnoteReference"/>
          <w:rFonts w:ascii="Times New Roman" w:hAnsi="Times New Roman" w:cs="Times New Roman"/>
          <w:sz w:val="24"/>
          <w:szCs w:val="24"/>
        </w:rPr>
        <w:footnoteReference w:id="18"/>
      </w:r>
      <w:r w:rsidRPr="00C45BB4">
        <w:rPr>
          <w:rFonts w:ascii="Times New Roman" w:hAnsi="Times New Roman" w:cs="Times New Roman"/>
          <w:sz w:val="24"/>
          <w:szCs w:val="24"/>
        </w:rPr>
        <w:t xml:space="preserve"> aşamaz.</w:t>
      </w:r>
    </w:p>
    <w:p w:rsidR="00254D76" w:rsidRDefault="00254D76" w:rsidP="002D6087">
      <w:pPr>
        <w:pStyle w:val="ListParagraph"/>
        <w:ind w:left="0" w:firstLine="426"/>
        <w:jc w:val="both"/>
        <w:rPr>
          <w:rFonts w:ascii="Times New Roman" w:hAnsi="Times New Roman" w:cs="Times New Roman"/>
          <w:sz w:val="24"/>
          <w:szCs w:val="24"/>
        </w:rPr>
      </w:pPr>
    </w:p>
    <w:p w:rsidR="002D6087" w:rsidRPr="00992637" w:rsidRDefault="002D6087" w:rsidP="00AF04C0">
      <w:pPr>
        <w:pStyle w:val="ListParagraph"/>
        <w:ind w:left="0" w:firstLine="633"/>
        <w:jc w:val="both"/>
        <w:rPr>
          <w:rFonts w:ascii="Times New Roman" w:hAnsi="Times New Roman" w:cs="Times New Roman"/>
          <w:sz w:val="24"/>
          <w:szCs w:val="24"/>
        </w:rPr>
      </w:pPr>
      <w:r w:rsidRPr="00992637">
        <w:rPr>
          <w:rFonts w:ascii="Times New Roman" w:hAnsi="Times New Roman" w:cs="Times New Roman"/>
          <w:sz w:val="24"/>
          <w:szCs w:val="24"/>
        </w:rPr>
        <w:t xml:space="preserve">Göreli RMD yöntemine ilişkin esaslar ise </w:t>
      </w:r>
      <w:r>
        <w:rPr>
          <w:rFonts w:ascii="Times New Roman" w:hAnsi="Times New Roman" w:cs="Times New Roman"/>
          <w:sz w:val="24"/>
          <w:szCs w:val="24"/>
        </w:rPr>
        <w:t>aşağıda yer almaktadır:</w:t>
      </w:r>
    </w:p>
    <w:p w:rsidR="002D6087" w:rsidRPr="00992637" w:rsidRDefault="002D6087" w:rsidP="0006161B">
      <w:pPr>
        <w:pStyle w:val="ListParagraph"/>
        <w:numPr>
          <w:ilvl w:val="0"/>
          <w:numId w:val="22"/>
        </w:numPr>
        <w:ind w:left="1276"/>
        <w:jc w:val="both"/>
        <w:rPr>
          <w:rFonts w:ascii="Times New Roman" w:hAnsi="Times New Roman" w:cs="Times New Roman"/>
          <w:sz w:val="24"/>
          <w:szCs w:val="24"/>
        </w:rPr>
      </w:pPr>
      <w:r>
        <w:rPr>
          <w:rFonts w:ascii="Times New Roman" w:hAnsi="Times New Roman" w:cs="Times New Roman"/>
          <w:sz w:val="24"/>
          <w:szCs w:val="24"/>
        </w:rPr>
        <w:t>RMD aşağıdaki şekilde hesaplanır:</w:t>
      </w:r>
    </w:p>
    <w:p w:rsidR="002D6087" w:rsidRPr="00BD2ED0" w:rsidRDefault="002D6087" w:rsidP="0006161B">
      <w:pPr>
        <w:pStyle w:val="ListParagraph"/>
        <w:numPr>
          <w:ilvl w:val="0"/>
          <w:numId w:val="23"/>
        </w:numPr>
        <w:ind w:left="2127" w:hanging="284"/>
        <w:jc w:val="both"/>
        <w:rPr>
          <w:rFonts w:ascii="Times New Roman" w:hAnsi="Times New Roman" w:cs="Times New Roman"/>
          <w:sz w:val="24"/>
          <w:szCs w:val="24"/>
        </w:rPr>
      </w:pPr>
      <w:r w:rsidRPr="00BD2ED0">
        <w:rPr>
          <w:rFonts w:ascii="Times New Roman" w:hAnsi="Times New Roman" w:cs="Times New Roman"/>
          <w:sz w:val="24"/>
          <w:szCs w:val="24"/>
        </w:rPr>
        <w:t>Fon portföyünün (kaldıraç</w:t>
      </w:r>
      <w:r>
        <w:rPr>
          <w:rFonts w:ascii="Times New Roman" w:hAnsi="Times New Roman" w:cs="Times New Roman"/>
          <w:sz w:val="24"/>
          <w:szCs w:val="24"/>
        </w:rPr>
        <w:t xml:space="preserve"> yaratan</w:t>
      </w:r>
      <w:r w:rsidRPr="00BD2ED0">
        <w:rPr>
          <w:rFonts w:ascii="Times New Roman" w:hAnsi="Times New Roman" w:cs="Times New Roman"/>
          <w:sz w:val="24"/>
          <w:szCs w:val="24"/>
        </w:rPr>
        <w:t xml:space="preserve"> işlemler </w:t>
      </w:r>
      <w:r w:rsidRPr="0039344C">
        <w:rPr>
          <w:rFonts w:ascii="Times New Roman" w:hAnsi="Times New Roman" w:cs="Times New Roman"/>
          <w:sz w:val="24"/>
          <w:szCs w:val="24"/>
        </w:rPr>
        <w:t xml:space="preserve">de </w:t>
      </w:r>
      <w:r w:rsidRPr="00BD2ED0">
        <w:rPr>
          <w:rFonts w:ascii="Times New Roman" w:hAnsi="Times New Roman" w:cs="Times New Roman"/>
          <w:sz w:val="24"/>
          <w:szCs w:val="24"/>
        </w:rPr>
        <w:t xml:space="preserve">dahil edilerek) RMD’si hesaplanır. </w:t>
      </w:r>
    </w:p>
    <w:p w:rsidR="002D6087" w:rsidRDefault="002D6087" w:rsidP="0006161B">
      <w:pPr>
        <w:pStyle w:val="ListParagraph"/>
        <w:numPr>
          <w:ilvl w:val="0"/>
          <w:numId w:val="23"/>
        </w:numPr>
        <w:ind w:left="993" w:firstLine="850"/>
        <w:jc w:val="both"/>
        <w:rPr>
          <w:rFonts w:ascii="Times New Roman" w:hAnsi="Times New Roman" w:cs="Times New Roman"/>
          <w:sz w:val="24"/>
          <w:szCs w:val="24"/>
        </w:rPr>
      </w:pPr>
      <w:r w:rsidRPr="00EC58D4">
        <w:rPr>
          <w:rFonts w:ascii="Times New Roman" w:hAnsi="Times New Roman" w:cs="Times New Roman"/>
          <w:sz w:val="24"/>
          <w:szCs w:val="24"/>
        </w:rPr>
        <w:t>Referans alınan portföyün</w:t>
      </w:r>
      <w:r w:rsidR="00FB2B3C">
        <w:rPr>
          <w:rFonts w:ascii="Times New Roman" w:hAnsi="Times New Roman" w:cs="Times New Roman"/>
          <w:sz w:val="24"/>
          <w:szCs w:val="24"/>
        </w:rPr>
        <w:t xml:space="preserve"> </w:t>
      </w:r>
      <w:r w:rsidRPr="00EC58D4">
        <w:rPr>
          <w:rFonts w:ascii="Times New Roman" w:hAnsi="Times New Roman" w:cs="Times New Roman"/>
          <w:sz w:val="24"/>
          <w:szCs w:val="24"/>
        </w:rPr>
        <w:t xml:space="preserve">RMD’si hesaplanır. </w:t>
      </w:r>
    </w:p>
    <w:p w:rsidR="002D6087" w:rsidRDefault="002D6087" w:rsidP="0006161B">
      <w:pPr>
        <w:pStyle w:val="ListParagraph"/>
        <w:numPr>
          <w:ilvl w:val="0"/>
          <w:numId w:val="23"/>
        </w:numPr>
        <w:ind w:left="2127" w:hanging="284"/>
        <w:jc w:val="both"/>
        <w:rPr>
          <w:rFonts w:ascii="Times New Roman" w:hAnsi="Times New Roman" w:cs="Times New Roman"/>
          <w:sz w:val="24"/>
          <w:szCs w:val="24"/>
        </w:rPr>
      </w:pPr>
      <w:r w:rsidRPr="007D3340">
        <w:rPr>
          <w:rFonts w:ascii="Times New Roman" w:hAnsi="Times New Roman" w:cs="Times New Roman"/>
          <w:sz w:val="24"/>
          <w:szCs w:val="24"/>
        </w:rPr>
        <w:t>Fon portföyünün</w:t>
      </w:r>
      <w:r w:rsidR="00FB2B3C">
        <w:rPr>
          <w:rFonts w:ascii="Times New Roman" w:hAnsi="Times New Roman" w:cs="Times New Roman"/>
          <w:sz w:val="24"/>
          <w:szCs w:val="24"/>
        </w:rPr>
        <w:t xml:space="preserve"> </w:t>
      </w:r>
      <w:r w:rsidRPr="007D3340">
        <w:rPr>
          <w:rFonts w:ascii="Times New Roman" w:hAnsi="Times New Roman" w:cs="Times New Roman"/>
          <w:sz w:val="24"/>
          <w:szCs w:val="24"/>
        </w:rPr>
        <w:t xml:space="preserve">RMD’si, referans alınan portföyün RMD’sinin iki katını aşamaz. </w:t>
      </w:r>
    </w:p>
    <w:p w:rsidR="00A17CE5" w:rsidRPr="007D3340" w:rsidRDefault="00A17CE5" w:rsidP="00A17CE5">
      <w:pPr>
        <w:pStyle w:val="ListParagraph"/>
        <w:ind w:left="2127"/>
        <w:jc w:val="both"/>
        <w:rPr>
          <w:rFonts w:ascii="Times New Roman" w:hAnsi="Times New Roman" w:cs="Times New Roman"/>
          <w:sz w:val="24"/>
          <w:szCs w:val="24"/>
        </w:rPr>
      </w:pPr>
    </w:p>
    <w:p w:rsidR="002D6087" w:rsidRDefault="002D6087" w:rsidP="0006161B">
      <w:pPr>
        <w:pStyle w:val="ListParagraph"/>
        <w:numPr>
          <w:ilvl w:val="0"/>
          <w:numId w:val="22"/>
        </w:numPr>
        <w:ind w:left="1276"/>
        <w:jc w:val="both"/>
        <w:rPr>
          <w:rFonts w:ascii="Times New Roman" w:hAnsi="Times New Roman" w:cs="Times New Roman"/>
          <w:sz w:val="24"/>
          <w:szCs w:val="24"/>
        </w:rPr>
      </w:pPr>
      <w:r w:rsidRPr="00EC58D4">
        <w:rPr>
          <w:rFonts w:ascii="Times New Roman" w:hAnsi="Times New Roman" w:cs="Times New Roman"/>
          <w:sz w:val="24"/>
          <w:szCs w:val="24"/>
        </w:rPr>
        <w:t>Referans portföy</w:t>
      </w:r>
      <w:r>
        <w:rPr>
          <w:rFonts w:ascii="Times New Roman" w:hAnsi="Times New Roman" w:cs="Times New Roman"/>
          <w:sz w:val="24"/>
          <w:szCs w:val="24"/>
        </w:rPr>
        <w:t xml:space="preserve">, aşağıdaki esaslar çerçevesinde belirlenir: </w:t>
      </w:r>
    </w:p>
    <w:p w:rsidR="00C275D1" w:rsidRPr="00EC58D4" w:rsidRDefault="00C275D1" w:rsidP="00C275D1">
      <w:pPr>
        <w:pStyle w:val="ListParagraph"/>
        <w:ind w:left="1276"/>
        <w:jc w:val="both"/>
        <w:rPr>
          <w:rFonts w:ascii="Times New Roman" w:hAnsi="Times New Roman" w:cs="Times New Roman"/>
          <w:sz w:val="24"/>
          <w:szCs w:val="24"/>
        </w:rPr>
      </w:pPr>
    </w:p>
    <w:p w:rsidR="00C275D1" w:rsidRDefault="002D6087" w:rsidP="0006161B">
      <w:pPr>
        <w:pStyle w:val="ListParagraph"/>
        <w:numPr>
          <w:ilvl w:val="0"/>
          <w:numId w:val="52"/>
        </w:numPr>
        <w:tabs>
          <w:tab w:val="left" w:pos="1418"/>
        </w:tabs>
        <w:ind w:left="2127" w:hanging="425"/>
        <w:jc w:val="both"/>
        <w:rPr>
          <w:rFonts w:ascii="Times New Roman" w:hAnsi="Times New Roman" w:cs="Times New Roman"/>
          <w:sz w:val="24"/>
          <w:szCs w:val="24"/>
        </w:rPr>
      </w:pPr>
      <w:r w:rsidRPr="00EC58D4">
        <w:rPr>
          <w:rFonts w:ascii="Times New Roman" w:hAnsi="Times New Roman" w:cs="Times New Roman"/>
          <w:sz w:val="24"/>
          <w:szCs w:val="24"/>
        </w:rPr>
        <w:t>Referans portföy</w:t>
      </w:r>
      <w:r>
        <w:rPr>
          <w:rFonts w:ascii="Times New Roman" w:hAnsi="Times New Roman" w:cs="Times New Roman"/>
          <w:sz w:val="24"/>
          <w:szCs w:val="24"/>
        </w:rPr>
        <w:t>,</w:t>
      </w:r>
      <w:r w:rsidRPr="00EC58D4">
        <w:rPr>
          <w:rFonts w:ascii="Times New Roman" w:hAnsi="Times New Roman" w:cs="Times New Roman"/>
          <w:sz w:val="24"/>
          <w:szCs w:val="24"/>
        </w:rPr>
        <w:t xml:space="preserve"> kaldıraç</w:t>
      </w:r>
      <w:r>
        <w:rPr>
          <w:rFonts w:ascii="Times New Roman" w:hAnsi="Times New Roman" w:cs="Times New Roman"/>
          <w:sz w:val="24"/>
          <w:szCs w:val="24"/>
        </w:rPr>
        <w:t xml:space="preserve"> yaratan</w:t>
      </w:r>
      <w:r w:rsidRPr="00EC58D4">
        <w:rPr>
          <w:rFonts w:ascii="Times New Roman" w:hAnsi="Times New Roman" w:cs="Times New Roman"/>
          <w:sz w:val="24"/>
          <w:szCs w:val="24"/>
        </w:rPr>
        <w:t xml:space="preserve"> işlemler</w:t>
      </w:r>
      <w:r>
        <w:rPr>
          <w:rFonts w:ascii="Times New Roman" w:hAnsi="Times New Roman" w:cs="Times New Roman"/>
          <w:sz w:val="24"/>
          <w:szCs w:val="24"/>
        </w:rPr>
        <w:t xml:space="preserve">i </w:t>
      </w:r>
      <w:r w:rsidRPr="00EC58D4">
        <w:rPr>
          <w:rFonts w:ascii="Times New Roman" w:hAnsi="Times New Roman" w:cs="Times New Roman"/>
          <w:sz w:val="24"/>
          <w:szCs w:val="24"/>
        </w:rPr>
        <w:t xml:space="preserve">ve </w:t>
      </w:r>
      <w:r>
        <w:rPr>
          <w:rFonts w:ascii="Times New Roman" w:hAnsi="Times New Roman" w:cs="Times New Roman"/>
          <w:sz w:val="24"/>
          <w:szCs w:val="24"/>
        </w:rPr>
        <w:t>saklı</w:t>
      </w:r>
      <w:r w:rsidRPr="00EC58D4">
        <w:rPr>
          <w:rFonts w:ascii="Times New Roman" w:hAnsi="Times New Roman" w:cs="Times New Roman"/>
          <w:sz w:val="24"/>
          <w:szCs w:val="24"/>
        </w:rPr>
        <w:t xml:space="preserve"> türev araçlar</w:t>
      </w:r>
      <w:r>
        <w:rPr>
          <w:rFonts w:ascii="Times New Roman" w:hAnsi="Times New Roman" w:cs="Times New Roman"/>
          <w:sz w:val="24"/>
          <w:szCs w:val="24"/>
        </w:rPr>
        <w:t>ı</w:t>
      </w:r>
      <w:r w:rsidRPr="00EC58D4">
        <w:rPr>
          <w:rFonts w:ascii="Times New Roman" w:hAnsi="Times New Roman" w:cs="Times New Roman"/>
          <w:sz w:val="24"/>
          <w:szCs w:val="24"/>
        </w:rPr>
        <w:t xml:space="preserve"> içermemelidir. </w:t>
      </w:r>
    </w:p>
    <w:p w:rsidR="00C275D1" w:rsidRDefault="00C275D1" w:rsidP="00C275D1">
      <w:pPr>
        <w:pStyle w:val="ListParagraph"/>
        <w:tabs>
          <w:tab w:val="left" w:pos="1418"/>
        </w:tabs>
        <w:ind w:left="2127"/>
        <w:jc w:val="both"/>
        <w:rPr>
          <w:rFonts w:ascii="Times New Roman" w:hAnsi="Times New Roman" w:cs="Times New Roman"/>
          <w:sz w:val="24"/>
          <w:szCs w:val="24"/>
        </w:rPr>
      </w:pPr>
    </w:p>
    <w:p w:rsidR="002D6087" w:rsidRDefault="002D6087" w:rsidP="00C275D1">
      <w:pPr>
        <w:pStyle w:val="ListParagraph"/>
        <w:tabs>
          <w:tab w:val="left" w:pos="1418"/>
        </w:tabs>
        <w:ind w:left="2127"/>
        <w:jc w:val="both"/>
        <w:rPr>
          <w:rFonts w:ascii="Times New Roman" w:hAnsi="Times New Roman" w:cs="Times New Roman"/>
          <w:sz w:val="24"/>
          <w:szCs w:val="24"/>
        </w:rPr>
      </w:pPr>
      <w:r>
        <w:rPr>
          <w:rFonts w:ascii="Times New Roman" w:hAnsi="Times New Roman" w:cs="Times New Roman"/>
          <w:sz w:val="24"/>
          <w:szCs w:val="24"/>
        </w:rPr>
        <w:t>Ancak;</w:t>
      </w:r>
    </w:p>
    <w:p w:rsidR="002D6087" w:rsidRDefault="002D6087" w:rsidP="0006161B">
      <w:pPr>
        <w:pStyle w:val="ListParagraph"/>
        <w:numPr>
          <w:ilvl w:val="1"/>
          <w:numId w:val="34"/>
        </w:numPr>
        <w:ind w:left="2410" w:hanging="283"/>
        <w:jc w:val="both"/>
        <w:rPr>
          <w:rFonts w:ascii="Times New Roman" w:hAnsi="Times New Roman" w:cs="Times New Roman"/>
          <w:sz w:val="24"/>
          <w:szCs w:val="24"/>
        </w:rPr>
      </w:pPr>
      <w:r>
        <w:rPr>
          <w:rFonts w:ascii="Times New Roman" w:hAnsi="Times New Roman" w:cs="Times New Roman"/>
          <w:sz w:val="24"/>
          <w:szCs w:val="24"/>
        </w:rPr>
        <w:t>K</w:t>
      </w:r>
      <w:r w:rsidRPr="00BD2ED0">
        <w:rPr>
          <w:rFonts w:ascii="Times New Roman" w:hAnsi="Times New Roman" w:cs="Times New Roman"/>
          <w:sz w:val="24"/>
          <w:szCs w:val="24"/>
        </w:rPr>
        <w:t xml:space="preserve">ur riskinden korunmayı amaçlayan bir portföyün oluşturulması halinde, </w:t>
      </w:r>
      <w:r>
        <w:rPr>
          <w:rFonts w:ascii="Times New Roman" w:hAnsi="Times New Roman" w:cs="Times New Roman"/>
          <w:sz w:val="24"/>
          <w:szCs w:val="24"/>
        </w:rPr>
        <w:t>kur riskinden korunan</w:t>
      </w:r>
      <w:r w:rsidRPr="00BD2ED0">
        <w:rPr>
          <w:rFonts w:ascii="Times New Roman" w:hAnsi="Times New Roman" w:cs="Times New Roman"/>
          <w:sz w:val="24"/>
          <w:szCs w:val="24"/>
        </w:rPr>
        <w:t xml:space="preserve"> bir endeks</w:t>
      </w:r>
      <w:r>
        <w:rPr>
          <w:rFonts w:ascii="Times New Roman" w:hAnsi="Times New Roman" w:cs="Times New Roman"/>
          <w:sz w:val="24"/>
          <w:szCs w:val="24"/>
        </w:rPr>
        <w:t xml:space="preserve"> (currency</w:t>
      </w:r>
      <w:r w:rsidR="00A17CE5">
        <w:rPr>
          <w:rFonts w:ascii="Times New Roman" w:hAnsi="Times New Roman" w:cs="Times New Roman"/>
          <w:sz w:val="24"/>
          <w:szCs w:val="24"/>
        </w:rPr>
        <w:t xml:space="preserve"> </w:t>
      </w:r>
      <w:r>
        <w:rPr>
          <w:rFonts w:ascii="Times New Roman" w:hAnsi="Times New Roman" w:cs="Times New Roman"/>
          <w:sz w:val="24"/>
          <w:szCs w:val="24"/>
        </w:rPr>
        <w:t>hedged</w:t>
      </w:r>
      <w:r w:rsidR="00A17CE5">
        <w:rPr>
          <w:rFonts w:ascii="Times New Roman" w:hAnsi="Times New Roman" w:cs="Times New Roman"/>
          <w:sz w:val="24"/>
          <w:szCs w:val="24"/>
        </w:rPr>
        <w:t xml:space="preserve"> </w:t>
      </w:r>
      <w:r>
        <w:rPr>
          <w:rFonts w:ascii="Times New Roman" w:hAnsi="Times New Roman" w:cs="Times New Roman"/>
          <w:sz w:val="24"/>
          <w:szCs w:val="24"/>
        </w:rPr>
        <w:t>index),</w:t>
      </w:r>
    </w:p>
    <w:p w:rsidR="002D6087" w:rsidRPr="007F0B4D" w:rsidRDefault="002D6087" w:rsidP="0006161B">
      <w:pPr>
        <w:pStyle w:val="ListParagraph"/>
        <w:numPr>
          <w:ilvl w:val="1"/>
          <w:numId w:val="34"/>
        </w:numPr>
        <w:ind w:left="2410" w:hanging="283"/>
        <w:jc w:val="both"/>
        <w:rPr>
          <w:rFonts w:ascii="Times New Roman" w:hAnsi="Times New Roman" w:cs="Times New Roman"/>
          <w:sz w:val="24"/>
          <w:szCs w:val="24"/>
        </w:rPr>
      </w:pPr>
      <w:r>
        <w:rPr>
          <w:rFonts w:ascii="Times New Roman" w:hAnsi="Times New Roman" w:cs="Times New Roman"/>
          <w:sz w:val="24"/>
          <w:szCs w:val="24"/>
        </w:rPr>
        <w:t>U</w:t>
      </w:r>
      <w:r w:rsidRPr="007F0B4D">
        <w:rPr>
          <w:rFonts w:ascii="Times New Roman" w:hAnsi="Times New Roman" w:cs="Times New Roman"/>
          <w:sz w:val="24"/>
          <w:szCs w:val="24"/>
        </w:rPr>
        <w:t>zun/kısa pozisyon stratejisini (long/short</w:t>
      </w:r>
      <w:r w:rsidR="00A17CE5">
        <w:rPr>
          <w:rFonts w:ascii="Times New Roman" w:hAnsi="Times New Roman" w:cs="Times New Roman"/>
          <w:sz w:val="24"/>
          <w:szCs w:val="24"/>
        </w:rPr>
        <w:t xml:space="preserve"> </w:t>
      </w:r>
      <w:r w:rsidRPr="007F0B4D">
        <w:rPr>
          <w:rFonts w:ascii="Times New Roman" w:hAnsi="Times New Roman" w:cs="Times New Roman"/>
          <w:sz w:val="24"/>
          <w:szCs w:val="24"/>
        </w:rPr>
        <w:t>strategy) uygulayan fonlar tarafından, kısa pozisyon yaratan türev araçları içeren bir portföy referans portföy olarak belirlenebilir.</w:t>
      </w:r>
    </w:p>
    <w:p w:rsidR="002D6087" w:rsidRDefault="002D6087" w:rsidP="002D6087">
      <w:pPr>
        <w:pStyle w:val="ListParagraph"/>
        <w:ind w:left="426" w:firstLine="850"/>
        <w:jc w:val="both"/>
        <w:rPr>
          <w:rFonts w:ascii="Times New Roman" w:hAnsi="Times New Roman" w:cs="Times New Roman"/>
          <w:sz w:val="24"/>
          <w:szCs w:val="24"/>
        </w:rPr>
      </w:pPr>
    </w:p>
    <w:p w:rsidR="002D6087" w:rsidRDefault="002D6087" w:rsidP="0006161B">
      <w:pPr>
        <w:pStyle w:val="ListParagraph"/>
        <w:numPr>
          <w:ilvl w:val="0"/>
          <w:numId w:val="52"/>
        </w:numPr>
        <w:tabs>
          <w:tab w:val="left" w:pos="1418"/>
        </w:tabs>
        <w:ind w:left="2127" w:hanging="142"/>
        <w:jc w:val="both"/>
        <w:rPr>
          <w:rFonts w:ascii="Times New Roman" w:hAnsi="Times New Roman" w:cs="Times New Roman"/>
          <w:sz w:val="24"/>
          <w:szCs w:val="24"/>
        </w:rPr>
      </w:pPr>
      <w:r w:rsidRPr="00EC58D4">
        <w:rPr>
          <w:rFonts w:ascii="Times New Roman" w:hAnsi="Times New Roman" w:cs="Times New Roman"/>
          <w:sz w:val="24"/>
          <w:szCs w:val="24"/>
        </w:rPr>
        <w:t xml:space="preserve">Referans portföyün risk profilinin, fonun yatırım amacı, </w:t>
      </w:r>
      <w:r>
        <w:rPr>
          <w:rFonts w:ascii="Times New Roman" w:hAnsi="Times New Roman" w:cs="Times New Roman"/>
          <w:sz w:val="24"/>
          <w:szCs w:val="24"/>
        </w:rPr>
        <w:t>stratejisi</w:t>
      </w:r>
      <w:r w:rsidRPr="00EC58D4">
        <w:rPr>
          <w:rFonts w:ascii="Times New Roman" w:hAnsi="Times New Roman" w:cs="Times New Roman"/>
          <w:sz w:val="24"/>
          <w:szCs w:val="24"/>
        </w:rPr>
        <w:t xml:space="preserve"> ve </w:t>
      </w:r>
      <w:r w:rsidRPr="00FF0603">
        <w:rPr>
          <w:rFonts w:ascii="Times New Roman" w:hAnsi="Times New Roman" w:cs="Times New Roman"/>
          <w:sz w:val="24"/>
          <w:szCs w:val="24"/>
        </w:rPr>
        <w:t>portföy</w:t>
      </w:r>
      <w:r w:rsidR="00FF0603" w:rsidRPr="00FF0603">
        <w:rPr>
          <w:rFonts w:ascii="Times New Roman" w:hAnsi="Times New Roman" w:cs="Times New Roman"/>
          <w:sz w:val="24"/>
          <w:szCs w:val="24"/>
        </w:rPr>
        <w:t xml:space="preserve"> </w:t>
      </w:r>
      <w:r w:rsidRPr="00FF0603">
        <w:rPr>
          <w:rFonts w:ascii="Times New Roman" w:hAnsi="Times New Roman" w:cs="Times New Roman"/>
          <w:sz w:val="24"/>
          <w:szCs w:val="24"/>
        </w:rPr>
        <w:t>sınırlamaları</w:t>
      </w:r>
      <w:r w:rsidRPr="00EC58D4">
        <w:rPr>
          <w:rFonts w:ascii="Times New Roman" w:hAnsi="Times New Roman" w:cs="Times New Roman"/>
          <w:sz w:val="24"/>
          <w:szCs w:val="24"/>
        </w:rPr>
        <w:t xml:space="preserve"> ile uyumlu olması gerekir. </w:t>
      </w:r>
    </w:p>
    <w:p w:rsidR="002D6087" w:rsidRPr="009F5C96" w:rsidRDefault="002D6087" w:rsidP="002D6087">
      <w:pPr>
        <w:pStyle w:val="ListParagraph"/>
        <w:rPr>
          <w:rFonts w:ascii="Times New Roman" w:hAnsi="Times New Roman" w:cs="Times New Roman"/>
          <w:sz w:val="24"/>
          <w:szCs w:val="24"/>
        </w:rPr>
      </w:pPr>
    </w:p>
    <w:p w:rsidR="002D6087" w:rsidRDefault="002D6087" w:rsidP="0006161B">
      <w:pPr>
        <w:pStyle w:val="ListParagraph"/>
        <w:numPr>
          <w:ilvl w:val="0"/>
          <w:numId w:val="52"/>
        </w:numPr>
        <w:tabs>
          <w:tab w:val="left" w:pos="1418"/>
        </w:tabs>
        <w:ind w:left="2127" w:hanging="142"/>
        <w:jc w:val="both"/>
        <w:rPr>
          <w:rFonts w:ascii="Times New Roman" w:hAnsi="Times New Roman" w:cs="Times New Roman"/>
          <w:sz w:val="24"/>
          <w:szCs w:val="24"/>
        </w:rPr>
      </w:pPr>
      <w:r w:rsidRPr="000E34E5">
        <w:rPr>
          <w:rFonts w:ascii="Times New Roman" w:hAnsi="Times New Roman" w:cs="Times New Roman"/>
          <w:sz w:val="24"/>
          <w:szCs w:val="24"/>
        </w:rPr>
        <w:t>Referans portföyün belirlenmesi</w:t>
      </w:r>
      <w:r>
        <w:rPr>
          <w:rFonts w:ascii="Times New Roman" w:hAnsi="Times New Roman" w:cs="Times New Roman"/>
          <w:sz w:val="24"/>
          <w:szCs w:val="24"/>
        </w:rPr>
        <w:t>ne</w:t>
      </w:r>
      <w:r w:rsidRPr="000E34E5">
        <w:rPr>
          <w:rFonts w:ascii="Times New Roman" w:hAnsi="Times New Roman" w:cs="Times New Roman"/>
          <w:sz w:val="24"/>
          <w:szCs w:val="24"/>
        </w:rPr>
        <w:t xml:space="preserve"> ve düzenli olarak izlenmesine ilişkin süreçler, risk yönetim süreçlerinin ayrılmaz bir parçası olup, söz konusu süreçlere ve referans portföyün dağılımına ilişkin esaslara risk yönetim prosedürlerinde yer verilmelidir. </w:t>
      </w:r>
    </w:p>
    <w:p w:rsidR="002D6087" w:rsidRPr="009F5C96" w:rsidRDefault="002D6087" w:rsidP="002D6087">
      <w:pPr>
        <w:pStyle w:val="ListParagraph"/>
        <w:ind w:left="1418"/>
        <w:jc w:val="both"/>
        <w:rPr>
          <w:rFonts w:ascii="Times New Roman" w:hAnsi="Times New Roman" w:cs="Times New Roman"/>
          <w:sz w:val="24"/>
          <w:szCs w:val="24"/>
        </w:rPr>
      </w:pPr>
    </w:p>
    <w:p w:rsidR="002D6087" w:rsidRDefault="002D6087" w:rsidP="0006161B">
      <w:pPr>
        <w:pStyle w:val="ListParagraph"/>
        <w:numPr>
          <w:ilvl w:val="0"/>
          <w:numId w:val="52"/>
        </w:numPr>
        <w:tabs>
          <w:tab w:val="left" w:pos="1418"/>
        </w:tabs>
        <w:ind w:left="2127" w:hanging="142"/>
        <w:jc w:val="both"/>
        <w:rPr>
          <w:rFonts w:ascii="Times New Roman" w:hAnsi="Times New Roman" w:cs="Times New Roman"/>
          <w:sz w:val="24"/>
          <w:szCs w:val="24"/>
        </w:rPr>
      </w:pPr>
      <w:r w:rsidRPr="009F5C96">
        <w:rPr>
          <w:rFonts w:ascii="Times New Roman" w:hAnsi="Times New Roman" w:cs="Times New Roman"/>
          <w:sz w:val="24"/>
          <w:szCs w:val="24"/>
        </w:rPr>
        <w:t>Referans portföyün mevcut varlık dağılımı ile bu dağılımdaki tüm değişiklikler belgelendirilmeli</w:t>
      </w:r>
      <w:r w:rsidR="000E03E9">
        <w:rPr>
          <w:rFonts w:ascii="Times New Roman" w:hAnsi="Times New Roman" w:cs="Times New Roman"/>
          <w:sz w:val="24"/>
          <w:szCs w:val="24"/>
        </w:rPr>
        <w:t>dir</w:t>
      </w:r>
      <w:r w:rsidRPr="009F5C96">
        <w:rPr>
          <w:rFonts w:ascii="Times New Roman" w:hAnsi="Times New Roman" w:cs="Times New Roman"/>
          <w:sz w:val="24"/>
          <w:szCs w:val="24"/>
        </w:rPr>
        <w:t>.</w:t>
      </w:r>
    </w:p>
    <w:p w:rsidR="007043C9" w:rsidRDefault="007043C9" w:rsidP="007043C9">
      <w:pPr>
        <w:pStyle w:val="ListParagraph"/>
        <w:tabs>
          <w:tab w:val="left" w:pos="1418"/>
        </w:tabs>
        <w:ind w:left="2127"/>
        <w:jc w:val="both"/>
        <w:rPr>
          <w:rFonts w:ascii="Times New Roman" w:hAnsi="Times New Roman" w:cs="Times New Roman"/>
          <w:sz w:val="24"/>
          <w:szCs w:val="24"/>
        </w:rPr>
      </w:pPr>
    </w:p>
    <w:p w:rsidR="0055291F" w:rsidRPr="009F5C96" w:rsidRDefault="0055291F" w:rsidP="0006161B">
      <w:pPr>
        <w:pStyle w:val="ListParagraph"/>
        <w:numPr>
          <w:ilvl w:val="0"/>
          <w:numId w:val="52"/>
        </w:numPr>
        <w:tabs>
          <w:tab w:val="left" w:pos="1418"/>
        </w:tabs>
        <w:ind w:left="2127" w:hanging="142"/>
        <w:jc w:val="both"/>
        <w:rPr>
          <w:rFonts w:ascii="Times New Roman" w:hAnsi="Times New Roman" w:cs="Times New Roman"/>
          <w:sz w:val="24"/>
          <w:szCs w:val="24"/>
        </w:rPr>
      </w:pPr>
      <w:r>
        <w:rPr>
          <w:rFonts w:ascii="Times New Roman" w:hAnsi="Times New Roman" w:cs="Times New Roman"/>
          <w:sz w:val="24"/>
          <w:szCs w:val="24"/>
        </w:rPr>
        <w:t xml:space="preserve">Referans portföyün bu bölümde yer alan şartları taşımadığının tespiti halinde Kurulca referans portföyün değiştirilmesi talep edilebilir. </w:t>
      </w:r>
    </w:p>
    <w:p w:rsidR="002D6087" w:rsidRDefault="002D6087" w:rsidP="002D6087">
      <w:pPr>
        <w:pStyle w:val="ListParagraph"/>
        <w:ind w:left="0"/>
        <w:jc w:val="both"/>
        <w:rPr>
          <w:rFonts w:ascii="Times New Roman" w:hAnsi="Times New Roman" w:cs="Times New Roman"/>
          <w:sz w:val="24"/>
          <w:szCs w:val="24"/>
        </w:rPr>
      </w:pPr>
    </w:p>
    <w:p w:rsidR="002D6087" w:rsidRPr="00992637" w:rsidRDefault="002D6087" w:rsidP="00F47904">
      <w:pPr>
        <w:pStyle w:val="Heading3"/>
        <w:rPr>
          <w:sz w:val="32"/>
        </w:rPr>
      </w:pPr>
      <w:bookmarkStart w:id="246" w:name="_Toc130312605"/>
      <w:bookmarkStart w:id="247" w:name="_Toc130312738"/>
      <w:r w:rsidRPr="00992637">
        <w:t>7.6.</w:t>
      </w:r>
      <w:r w:rsidR="00F47904">
        <w:t>3</w:t>
      </w:r>
      <w:r w:rsidRPr="00992637">
        <w:t>.</w:t>
      </w:r>
      <w:r w:rsidR="00A17CE5">
        <w:t xml:space="preserve"> </w:t>
      </w:r>
      <w:r w:rsidRPr="00992637">
        <w:t>Model Doğrulaması</w:t>
      </w:r>
      <w:bookmarkEnd w:id="246"/>
      <w:bookmarkEnd w:id="247"/>
    </w:p>
    <w:p w:rsidR="002D6087" w:rsidRDefault="002D6087" w:rsidP="002D6087">
      <w:pPr>
        <w:pStyle w:val="ListParagraph"/>
        <w:ind w:left="0"/>
        <w:jc w:val="both"/>
        <w:rPr>
          <w:rFonts w:ascii="CenturySchoolbook" w:hAnsi="CenturySchoolbook" w:cs="CenturySchoolbook"/>
          <w:sz w:val="24"/>
          <w:szCs w:val="20"/>
        </w:rPr>
      </w:pPr>
    </w:p>
    <w:p w:rsidR="002D6087" w:rsidRPr="00A17CE5" w:rsidRDefault="002D6087" w:rsidP="002D6087">
      <w:pPr>
        <w:pStyle w:val="ListParagraph"/>
        <w:ind w:left="0" w:firstLine="708"/>
        <w:jc w:val="both"/>
        <w:rPr>
          <w:rFonts w:ascii="CenturySchoolbook" w:hAnsi="CenturySchoolbook" w:cs="CenturySchoolbook"/>
          <w:sz w:val="24"/>
          <w:szCs w:val="20"/>
        </w:rPr>
      </w:pPr>
      <w:r w:rsidRPr="00BD2ED0">
        <w:rPr>
          <w:rFonts w:ascii="CenturySchoolbook" w:hAnsi="CenturySchoolbook" w:cs="CenturySchoolbook"/>
          <w:sz w:val="24"/>
          <w:szCs w:val="20"/>
        </w:rPr>
        <w:t>RMD</w:t>
      </w:r>
      <w:r w:rsidR="00A17CE5">
        <w:rPr>
          <w:rFonts w:ascii="CenturySchoolbook" w:hAnsi="CenturySchoolbook" w:cs="CenturySchoolbook"/>
          <w:sz w:val="24"/>
          <w:szCs w:val="20"/>
        </w:rPr>
        <w:t xml:space="preserve"> </w:t>
      </w:r>
      <w:r>
        <w:rPr>
          <w:rFonts w:ascii="CenturySchoolbook" w:hAnsi="CenturySchoolbook" w:cs="CenturySchoolbook"/>
          <w:sz w:val="24"/>
          <w:szCs w:val="20"/>
        </w:rPr>
        <w:t>m</w:t>
      </w:r>
      <w:r w:rsidRPr="006A1B34">
        <w:rPr>
          <w:rFonts w:ascii="CenturySchoolbook" w:hAnsi="CenturySchoolbook" w:cs="CenturySchoolbook"/>
          <w:sz w:val="24"/>
          <w:szCs w:val="20"/>
        </w:rPr>
        <w:t>odelin</w:t>
      </w:r>
      <w:r>
        <w:rPr>
          <w:rFonts w:ascii="CenturySchoolbook" w:hAnsi="CenturySchoolbook" w:cs="CenturySchoolbook"/>
          <w:sz w:val="24"/>
          <w:szCs w:val="20"/>
        </w:rPr>
        <w:t>in</w:t>
      </w:r>
      <w:r w:rsidRPr="006A1B34">
        <w:rPr>
          <w:rFonts w:ascii="CenturySchoolbook" w:hAnsi="CenturySchoolbook" w:cs="CenturySchoolbook"/>
          <w:sz w:val="24"/>
          <w:szCs w:val="20"/>
        </w:rPr>
        <w:t xml:space="preserve"> oluşturulmasının ardından</w:t>
      </w:r>
      <w:r>
        <w:rPr>
          <w:rFonts w:ascii="CenturySchoolbook" w:hAnsi="CenturySchoolbook" w:cs="CenturySchoolbook"/>
          <w:sz w:val="24"/>
          <w:szCs w:val="20"/>
        </w:rPr>
        <w:t xml:space="preserve">, modelin oluşturulması sürecinde görev </w:t>
      </w:r>
      <w:r w:rsidR="002E5BA1">
        <w:rPr>
          <w:rFonts w:ascii="CenturySchoolbook" w:hAnsi="CenturySchoolbook" w:cs="CenturySchoolbook"/>
          <w:sz w:val="24"/>
          <w:szCs w:val="20"/>
        </w:rPr>
        <w:t>almamış olan</w:t>
      </w:r>
      <w:r>
        <w:rPr>
          <w:rFonts w:ascii="CenturySchoolbook" w:hAnsi="CenturySchoolbook" w:cs="CenturySchoolbook"/>
          <w:sz w:val="24"/>
          <w:szCs w:val="20"/>
        </w:rPr>
        <w:t xml:space="preserve"> kişi/kişiler</w:t>
      </w:r>
      <w:r w:rsidR="004663BC">
        <w:rPr>
          <w:rStyle w:val="FootnoteReference"/>
          <w:rFonts w:ascii="CenturySchoolbook" w:hAnsi="CenturySchoolbook" w:cs="CenturySchoolbook"/>
          <w:sz w:val="24"/>
          <w:szCs w:val="20"/>
        </w:rPr>
        <w:footnoteReference w:id="19"/>
      </w:r>
      <w:r>
        <w:rPr>
          <w:rFonts w:ascii="CenturySchoolbook" w:hAnsi="CenturySchoolbook" w:cs="CenturySchoolbook"/>
          <w:sz w:val="24"/>
          <w:szCs w:val="20"/>
        </w:rPr>
        <w:t xml:space="preserve"> veya </w:t>
      </w:r>
      <w:r w:rsidR="00FA6FE4">
        <w:rPr>
          <w:rFonts w:ascii="CenturySchoolbook" w:hAnsi="CenturySchoolbook" w:cs="CenturySchoolbook"/>
          <w:sz w:val="24"/>
          <w:szCs w:val="20"/>
        </w:rPr>
        <w:t xml:space="preserve">risk yönetimi konusunda uzmanlaşmış </w:t>
      </w:r>
      <w:r>
        <w:rPr>
          <w:rFonts w:ascii="CenturySchoolbook" w:hAnsi="CenturySchoolbook" w:cs="CenturySchoolbook"/>
          <w:sz w:val="24"/>
          <w:szCs w:val="20"/>
        </w:rPr>
        <w:t xml:space="preserve">bir kurum tarafından </w:t>
      </w:r>
      <w:r w:rsidR="00976048">
        <w:rPr>
          <w:rFonts w:ascii="CenturySchoolbook" w:hAnsi="CenturySchoolbook" w:cs="CenturySchoolbook"/>
          <w:sz w:val="24"/>
          <w:szCs w:val="20"/>
        </w:rPr>
        <w:t xml:space="preserve">yılda en az bir defa </w:t>
      </w:r>
      <w:r>
        <w:rPr>
          <w:rFonts w:ascii="CenturySchoolbook" w:hAnsi="CenturySchoolbook" w:cs="CenturySchoolbook"/>
          <w:sz w:val="24"/>
          <w:szCs w:val="20"/>
        </w:rPr>
        <w:t xml:space="preserve">modelin tüm önemli riskleri ölçtüğünün ve güvenilir olduğunun kontrol edilmesi gerekir. </w:t>
      </w:r>
      <w:r w:rsidR="00976048">
        <w:rPr>
          <w:rFonts w:ascii="CenturySchoolbook" w:hAnsi="CenturySchoolbook" w:cs="CenturySchoolbook"/>
          <w:sz w:val="24"/>
          <w:szCs w:val="20"/>
        </w:rPr>
        <w:t>Ayrıca, m</w:t>
      </w:r>
      <w:r>
        <w:rPr>
          <w:rFonts w:ascii="CenturySchoolbook" w:hAnsi="CenturySchoolbook" w:cs="CenturySchoolbook"/>
          <w:sz w:val="24"/>
          <w:szCs w:val="20"/>
        </w:rPr>
        <w:t xml:space="preserve">odeldeki her önemli değişiklikten sonra da bu test tekrarlanmalıdır.  Modelin kapsamadığı bir varlığın portföye dahil edilmesi, geriye dönük test sonuçları çerçevesinde modelde değişiklik yapılması ihtiyacının oluşması, modelde önemli değişikliklerin yapılmasına karar </w:t>
      </w:r>
      <w:r w:rsidRPr="00A17CE5">
        <w:rPr>
          <w:rFonts w:ascii="CenturySchoolbook" w:hAnsi="CenturySchoolbook" w:cs="CenturySchoolbook"/>
          <w:sz w:val="24"/>
          <w:szCs w:val="20"/>
        </w:rPr>
        <w:t xml:space="preserve">verilmesi gibi durumlar “modeldeki önemli değişiklik” olarak değerlendirilir. </w:t>
      </w:r>
    </w:p>
    <w:p w:rsidR="002D6087" w:rsidRDefault="002D6087" w:rsidP="002D6087">
      <w:pPr>
        <w:autoSpaceDE w:val="0"/>
        <w:autoSpaceDN w:val="0"/>
        <w:adjustRightInd w:val="0"/>
        <w:spacing w:after="0" w:line="240" w:lineRule="auto"/>
        <w:ind w:firstLine="708"/>
        <w:jc w:val="both"/>
        <w:rPr>
          <w:rFonts w:ascii="CenturySchoolbook" w:hAnsi="CenturySchoolbook" w:cs="CenturySchoolbook"/>
          <w:sz w:val="24"/>
          <w:szCs w:val="20"/>
        </w:rPr>
      </w:pPr>
      <w:r w:rsidRPr="00A17CE5">
        <w:rPr>
          <w:rFonts w:ascii="CenturySchoolbook" w:hAnsi="CenturySchoolbook" w:cs="CenturySchoolbook"/>
          <w:sz w:val="24"/>
          <w:szCs w:val="20"/>
        </w:rPr>
        <w:t xml:space="preserve">Risk yönetim birimi tarafından, kullanılan RMD modelinin riskleri tam ve doğru olarak ölçüp ölçmediği </w:t>
      </w:r>
      <w:r w:rsidR="001D2781">
        <w:rPr>
          <w:rFonts w:ascii="CenturySchoolbook" w:hAnsi="CenturySchoolbook" w:cs="CenturySchoolbook"/>
          <w:sz w:val="24"/>
          <w:szCs w:val="20"/>
        </w:rPr>
        <w:t xml:space="preserve">bu </w:t>
      </w:r>
      <w:r w:rsidR="001D2781" w:rsidRPr="00FF0603">
        <w:rPr>
          <w:rFonts w:ascii="CenturySchoolbook" w:hAnsi="CenturySchoolbook" w:cs="CenturySchoolbook"/>
          <w:sz w:val="24"/>
          <w:szCs w:val="20"/>
        </w:rPr>
        <w:t>Re</w:t>
      </w:r>
      <w:r w:rsidR="00FF0603">
        <w:rPr>
          <w:rFonts w:ascii="CenturySchoolbook" w:hAnsi="CenturySchoolbook" w:cs="CenturySchoolbook"/>
          <w:sz w:val="24"/>
          <w:szCs w:val="20"/>
        </w:rPr>
        <w:t>hbe</w:t>
      </w:r>
      <w:r w:rsidR="001D2781" w:rsidRPr="00FF0603">
        <w:rPr>
          <w:rFonts w:ascii="CenturySchoolbook" w:hAnsi="CenturySchoolbook" w:cs="CenturySchoolbook"/>
          <w:sz w:val="24"/>
          <w:szCs w:val="20"/>
        </w:rPr>
        <w:t>r’</w:t>
      </w:r>
      <w:r w:rsidR="001D2781">
        <w:rPr>
          <w:rFonts w:ascii="CenturySchoolbook" w:hAnsi="CenturySchoolbook" w:cs="CenturySchoolbook"/>
          <w:sz w:val="24"/>
          <w:szCs w:val="20"/>
        </w:rPr>
        <w:t xml:space="preserve">in (7.6.4) nolu bölümünde yer alan esaslar çerçevesinde </w:t>
      </w:r>
      <w:r w:rsidRPr="00A17CE5">
        <w:rPr>
          <w:rFonts w:ascii="CenturySchoolbook" w:hAnsi="CenturySchoolbook" w:cs="CenturySchoolbook"/>
          <w:sz w:val="24"/>
          <w:szCs w:val="20"/>
        </w:rPr>
        <w:t>geriye dönük testler yapılarak ve gerekli görülmesi halinde diğer yöntemlerden de yararlanılarak düzenli olarak kontrol edilmelidir.</w:t>
      </w:r>
      <w:r>
        <w:rPr>
          <w:rFonts w:ascii="CenturySchoolbook" w:hAnsi="CenturySchoolbook" w:cs="CenturySchoolbook"/>
          <w:sz w:val="24"/>
          <w:szCs w:val="20"/>
        </w:rPr>
        <w:t xml:space="preserve"> Bu çalışmalar belgelendirilmeli ve gerekli görülmesi halinde kullanılan modelde iyileştirmeler yapılmalıdır. </w:t>
      </w:r>
    </w:p>
    <w:p w:rsidR="002D6087" w:rsidRDefault="002D6087" w:rsidP="002D6087">
      <w:pPr>
        <w:pStyle w:val="ListParagraph"/>
        <w:ind w:left="0"/>
        <w:jc w:val="both"/>
        <w:rPr>
          <w:rFonts w:ascii="Times New Roman" w:hAnsi="Times New Roman" w:cs="Times New Roman"/>
          <w:sz w:val="24"/>
          <w:szCs w:val="24"/>
        </w:rPr>
      </w:pPr>
    </w:p>
    <w:p w:rsidR="002D6087" w:rsidRDefault="002D6087" w:rsidP="00F47904">
      <w:pPr>
        <w:pStyle w:val="Heading3"/>
        <w:rPr>
          <w:i/>
        </w:rPr>
      </w:pPr>
      <w:bookmarkStart w:id="248" w:name="_Toc130312606"/>
      <w:bookmarkStart w:id="249" w:name="_Toc130312739"/>
      <w:r w:rsidRPr="008E2E38">
        <w:t>7.</w:t>
      </w:r>
      <w:r>
        <w:t>6.</w:t>
      </w:r>
      <w:r w:rsidR="00F47904">
        <w:t>4</w:t>
      </w:r>
      <w:r w:rsidRPr="008E2E38">
        <w:t xml:space="preserve">. </w:t>
      </w:r>
      <w:r w:rsidR="002F535A">
        <w:t xml:space="preserve">(Değişiklik: 01.03.2018 tarih ve 9/316 sayılı Kurul Kararı ile) </w:t>
      </w:r>
      <w:r w:rsidRPr="00751208">
        <w:t>Geriye Dönük Test</w:t>
      </w:r>
      <w:bookmarkEnd w:id="248"/>
      <w:bookmarkEnd w:id="249"/>
    </w:p>
    <w:p w:rsidR="00F47904" w:rsidRPr="00F47904" w:rsidRDefault="00F47904" w:rsidP="00F47904"/>
    <w:p w:rsidR="002D6087" w:rsidRPr="00BD2ED0" w:rsidRDefault="002D6087" w:rsidP="0006161B">
      <w:pPr>
        <w:pStyle w:val="ListParagraph"/>
        <w:numPr>
          <w:ilvl w:val="0"/>
          <w:numId w:val="24"/>
        </w:numPr>
        <w:autoSpaceDE w:val="0"/>
        <w:autoSpaceDN w:val="0"/>
        <w:adjustRightInd w:val="0"/>
        <w:spacing w:after="0" w:line="240" w:lineRule="auto"/>
        <w:jc w:val="both"/>
        <w:rPr>
          <w:rFonts w:ascii="CenturySchoolbook" w:hAnsi="CenturySchoolbook" w:cs="CenturySchoolbook"/>
          <w:sz w:val="24"/>
          <w:szCs w:val="20"/>
        </w:rPr>
      </w:pPr>
      <w:r w:rsidRPr="00BD2ED0">
        <w:rPr>
          <w:rFonts w:ascii="CenturySchoolbook" w:hAnsi="CenturySchoolbook" w:cs="CenturySchoolbook"/>
          <w:sz w:val="24"/>
          <w:szCs w:val="20"/>
        </w:rPr>
        <w:t xml:space="preserve">Fonlar tarafından, kullanılan risk ölçüm modelinin doğruluğunu ve performansını ölçmek amacıyla geriye dönük test uygulanmalıdır. </w:t>
      </w:r>
    </w:p>
    <w:p w:rsidR="002D6087" w:rsidRPr="00BD2ED0" w:rsidRDefault="002D6087" w:rsidP="0006161B">
      <w:pPr>
        <w:pStyle w:val="ListParagraph"/>
        <w:numPr>
          <w:ilvl w:val="0"/>
          <w:numId w:val="24"/>
        </w:numPr>
        <w:autoSpaceDE w:val="0"/>
        <w:autoSpaceDN w:val="0"/>
        <w:adjustRightInd w:val="0"/>
        <w:spacing w:after="0" w:line="240" w:lineRule="auto"/>
        <w:jc w:val="both"/>
        <w:rPr>
          <w:rFonts w:ascii="CenturySchoolbook" w:hAnsi="CenturySchoolbook" w:cs="CenturySchoolbook"/>
          <w:sz w:val="24"/>
          <w:szCs w:val="20"/>
        </w:rPr>
      </w:pPr>
      <w:r w:rsidRPr="00AD6873">
        <w:rPr>
          <w:rFonts w:ascii="CenturySchoolbook" w:hAnsi="CenturySchoolbook" w:cs="CenturySchoolbook"/>
          <w:sz w:val="24"/>
          <w:szCs w:val="20"/>
        </w:rPr>
        <w:t>Geriye dönük test</w:t>
      </w:r>
      <w:r>
        <w:rPr>
          <w:rFonts w:ascii="CenturySchoolbook" w:hAnsi="CenturySchoolbook" w:cs="CenturySchoolbook"/>
          <w:sz w:val="24"/>
          <w:szCs w:val="20"/>
        </w:rPr>
        <w:t xml:space="preserve"> kapsamında</w:t>
      </w:r>
      <w:r w:rsidRPr="00AD6873">
        <w:rPr>
          <w:rFonts w:ascii="CenturySchoolbook" w:hAnsi="CenturySchoolbook" w:cs="CenturySchoolbook"/>
          <w:sz w:val="24"/>
          <w:szCs w:val="20"/>
        </w:rPr>
        <w:t>, her iş günü için, portföyün gün</w:t>
      </w:r>
      <w:r>
        <w:rPr>
          <w:rFonts w:ascii="CenturySchoolbook" w:hAnsi="CenturySchoolbook" w:cs="CenturySchoolbook"/>
          <w:sz w:val="24"/>
          <w:szCs w:val="20"/>
        </w:rPr>
        <w:t xml:space="preserve"> (T günü)</w:t>
      </w:r>
      <w:r w:rsidRPr="00AD6873">
        <w:rPr>
          <w:rFonts w:ascii="CenturySchoolbook" w:hAnsi="CenturySchoolbook" w:cs="CenturySchoolbook"/>
          <w:sz w:val="24"/>
          <w:szCs w:val="20"/>
        </w:rPr>
        <w:t xml:space="preserve"> sonu</w:t>
      </w:r>
      <w:r w:rsidR="00C53567">
        <w:rPr>
          <w:rFonts w:ascii="CenturySchoolbook" w:hAnsi="CenturySchoolbook" w:cs="CenturySchoolbook"/>
          <w:sz w:val="24"/>
          <w:szCs w:val="20"/>
        </w:rPr>
        <w:t xml:space="preserve"> </w:t>
      </w:r>
      <w:r w:rsidRPr="00AD6873">
        <w:rPr>
          <w:rFonts w:ascii="CenturySchoolbook" w:hAnsi="CenturySchoolbook" w:cs="CenturySchoolbook"/>
          <w:sz w:val="24"/>
          <w:szCs w:val="20"/>
        </w:rPr>
        <w:t xml:space="preserve">pozisyonları için hesaplanan </w:t>
      </w:r>
      <w:r w:rsidRPr="00BD2ED0">
        <w:rPr>
          <w:rFonts w:ascii="CenturySchoolbook" w:hAnsi="CenturySchoolbook" w:cs="CenturySchoolbook"/>
          <w:sz w:val="24"/>
          <w:szCs w:val="20"/>
        </w:rPr>
        <w:t xml:space="preserve">günlük riske maruz değer ile </w:t>
      </w:r>
      <w:r>
        <w:rPr>
          <w:rFonts w:ascii="CenturySchoolbook" w:hAnsi="CenturySchoolbook" w:cs="CenturySchoolbook"/>
          <w:sz w:val="24"/>
          <w:szCs w:val="20"/>
        </w:rPr>
        <w:t xml:space="preserve">portföyün </w:t>
      </w:r>
      <w:r w:rsidRPr="00D80C33">
        <w:rPr>
          <w:rFonts w:ascii="CenturySchoolbook" w:hAnsi="CenturySchoolbook" w:cs="CenturySchoolbook"/>
          <w:sz w:val="24"/>
          <w:szCs w:val="20"/>
        </w:rPr>
        <w:t>gün</w:t>
      </w:r>
      <w:r>
        <w:rPr>
          <w:rFonts w:ascii="CenturySchoolbook" w:hAnsi="CenturySchoolbook" w:cs="CenturySchoolbook"/>
          <w:sz w:val="24"/>
          <w:szCs w:val="20"/>
        </w:rPr>
        <w:t xml:space="preserve"> (T günü)</w:t>
      </w:r>
      <w:r w:rsidRPr="00D80C33">
        <w:rPr>
          <w:rFonts w:ascii="CenturySchoolbook" w:hAnsi="CenturySchoolbook" w:cs="CenturySchoolbook"/>
          <w:sz w:val="24"/>
          <w:szCs w:val="20"/>
        </w:rPr>
        <w:t xml:space="preserve"> sonu pozisyonlarının değişmediği varsayımı</w:t>
      </w:r>
      <w:r w:rsidR="00C53567">
        <w:rPr>
          <w:rFonts w:ascii="CenturySchoolbook" w:hAnsi="CenturySchoolbook" w:cs="CenturySchoolbook"/>
          <w:sz w:val="24"/>
          <w:szCs w:val="20"/>
        </w:rPr>
        <w:t xml:space="preserve"> </w:t>
      </w:r>
      <w:r>
        <w:rPr>
          <w:rFonts w:ascii="CenturySchoolbook" w:hAnsi="CenturySchoolbook" w:cs="CenturySchoolbook"/>
          <w:sz w:val="24"/>
          <w:szCs w:val="20"/>
        </w:rPr>
        <w:t xml:space="preserve">altında </w:t>
      </w:r>
      <w:r w:rsidRPr="00BD2ED0">
        <w:rPr>
          <w:rFonts w:ascii="CenturySchoolbook" w:hAnsi="CenturySchoolbook" w:cs="CenturySchoolbook"/>
          <w:sz w:val="24"/>
          <w:szCs w:val="20"/>
        </w:rPr>
        <w:t>bir sonraki iş günü</w:t>
      </w:r>
      <w:r>
        <w:rPr>
          <w:rFonts w:ascii="CenturySchoolbook" w:hAnsi="CenturySchoolbook" w:cs="CenturySchoolbook"/>
          <w:sz w:val="24"/>
          <w:szCs w:val="20"/>
        </w:rPr>
        <w:t xml:space="preserve"> (T+1 günü)</w:t>
      </w:r>
      <w:r w:rsidRPr="00BD2ED0">
        <w:rPr>
          <w:rFonts w:ascii="CenturySchoolbook" w:hAnsi="CenturySchoolbook" w:cs="CenturySchoolbook"/>
          <w:sz w:val="24"/>
          <w:szCs w:val="20"/>
        </w:rPr>
        <w:t xml:space="preserve"> sonu</w:t>
      </w:r>
      <w:r>
        <w:rPr>
          <w:rFonts w:ascii="CenturySchoolbook" w:hAnsi="CenturySchoolbook" w:cs="CenturySchoolbook"/>
          <w:sz w:val="24"/>
          <w:szCs w:val="20"/>
        </w:rPr>
        <w:t xml:space="preserve"> itibariyle</w:t>
      </w:r>
      <w:r w:rsidRPr="00BD2ED0">
        <w:rPr>
          <w:rFonts w:ascii="CenturySchoolbook" w:hAnsi="CenturySchoolbook" w:cs="CenturySchoolbook"/>
          <w:sz w:val="24"/>
          <w:szCs w:val="20"/>
        </w:rPr>
        <w:t xml:space="preserve"> portföyün değerinde meydana gelen günlük</w:t>
      </w:r>
      <w:r w:rsidR="00A17CE5">
        <w:rPr>
          <w:rFonts w:ascii="CenturySchoolbook" w:hAnsi="CenturySchoolbook" w:cs="CenturySchoolbook"/>
          <w:sz w:val="24"/>
          <w:szCs w:val="20"/>
        </w:rPr>
        <w:t xml:space="preserve"> </w:t>
      </w:r>
      <w:r w:rsidRPr="00AD6873">
        <w:rPr>
          <w:rFonts w:ascii="CenturySchoolbook" w:hAnsi="CenturySchoolbook" w:cs="CenturySchoolbook"/>
          <w:sz w:val="24"/>
          <w:szCs w:val="20"/>
        </w:rPr>
        <w:t>değişim arasında karşılaştırma yap</w:t>
      </w:r>
      <w:r>
        <w:rPr>
          <w:rFonts w:ascii="CenturySchoolbook" w:hAnsi="CenturySchoolbook" w:cs="CenturySchoolbook"/>
          <w:sz w:val="24"/>
          <w:szCs w:val="20"/>
        </w:rPr>
        <w:t>ılır.</w:t>
      </w:r>
    </w:p>
    <w:p w:rsidR="002D6087" w:rsidRPr="00DF2EF7" w:rsidRDefault="002D6087" w:rsidP="0006161B">
      <w:pPr>
        <w:pStyle w:val="ListParagraph"/>
        <w:numPr>
          <w:ilvl w:val="0"/>
          <w:numId w:val="24"/>
        </w:numPr>
        <w:autoSpaceDE w:val="0"/>
        <w:autoSpaceDN w:val="0"/>
        <w:adjustRightInd w:val="0"/>
        <w:spacing w:after="0" w:line="240" w:lineRule="auto"/>
        <w:jc w:val="both"/>
        <w:rPr>
          <w:rFonts w:ascii="CenturySchoolbook" w:hAnsi="CenturySchoolbook" w:cs="CenturySchoolbook"/>
          <w:sz w:val="24"/>
          <w:szCs w:val="20"/>
        </w:rPr>
      </w:pPr>
      <w:r w:rsidRPr="00BD2ED0">
        <w:rPr>
          <w:rFonts w:ascii="CenturySchoolbook" w:hAnsi="CenturySchoolbook" w:cs="CenturySchoolbook"/>
          <w:sz w:val="24"/>
          <w:szCs w:val="20"/>
        </w:rPr>
        <w:t xml:space="preserve">Geriye dönük testin en az aylık dönemler itibarıyla, </w:t>
      </w:r>
      <w:r w:rsidRPr="00DF2EF7">
        <w:rPr>
          <w:rFonts w:ascii="CenturySchoolbook" w:hAnsi="CenturySchoolbook" w:cs="CenturySchoolbook"/>
          <w:sz w:val="24"/>
          <w:szCs w:val="20"/>
        </w:rPr>
        <w:t xml:space="preserve">söz konusu aydaki her işgünü için ayrı ayrı uygulanması zorunludur. </w:t>
      </w:r>
    </w:p>
    <w:p w:rsidR="002D6087" w:rsidRPr="001D2781" w:rsidRDefault="002D6087" w:rsidP="0006161B">
      <w:pPr>
        <w:pStyle w:val="ListParagraph"/>
        <w:numPr>
          <w:ilvl w:val="0"/>
          <w:numId w:val="24"/>
        </w:numPr>
        <w:autoSpaceDE w:val="0"/>
        <w:autoSpaceDN w:val="0"/>
        <w:adjustRightInd w:val="0"/>
        <w:spacing w:after="0" w:line="240" w:lineRule="auto"/>
        <w:jc w:val="both"/>
        <w:rPr>
          <w:rFonts w:ascii="CenturySchoolbook" w:hAnsi="CenturySchoolbook" w:cs="CenturySchoolbook"/>
          <w:sz w:val="24"/>
          <w:szCs w:val="20"/>
        </w:rPr>
      </w:pPr>
      <w:r w:rsidRPr="00BD2ED0">
        <w:rPr>
          <w:rFonts w:ascii="CenturySchoolbook" w:hAnsi="CenturySchoolbook" w:cs="CenturySchoolbook"/>
          <w:sz w:val="24"/>
          <w:szCs w:val="20"/>
        </w:rPr>
        <w:t>Portföyün değerinde meydana gelen değişikliğin fonun kullandığı model</w:t>
      </w:r>
      <w:r>
        <w:rPr>
          <w:rFonts w:ascii="CenturySchoolbook" w:hAnsi="CenturySchoolbook" w:cs="CenturySchoolbook"/>
          <w:sz w:val="24"/>
          <w:szCs w:val="20"/>
        </w:rPr>
        <w:t xml:space="preserve"> tarafından</w:t>
      </w:r>
      <w:r w:rsidRPr="00BD2ED0">
        <w:rPr>
          <w:rFonts w:ascii="CenturySchoolbook" w:hAnsi="CenturySchoolbook" w:cs="CenturySchoolbook"/>
          <w:sz w:val="24"/>
          <w:szCs w:val="20"/>
        </w:rPr>
        <w:t xml:space="preserve"> ortaya konan bir günlük riske maruz değeri aşması sonucu ortaya çıkan “aşım sayısına” ilişkin bir limitin </w:t>
      </w:r>
      <w:r>
        <w:rPr>
          <w:rFonts w:ascii="CenturySchoolbook" w:hAnsi="CenturySchoolbook" w:cs="CenturySchoolbook"/>
          <w:sz w:val="24"/>
          <w:szCs w:val="20"/>
        </w:rPr>
        <w:t>belirlenmesi</w:t>
      </w:r>
      <w:r w:rsidRPr="00BD2ED0">
        <w:rPr>
          <w:rFonts w:ascii="CenturySchoolbook" w:hAnsi="CenturySchoolbook" w:cs="CenturySchoolbook"/>
          <w:sz w:val="24"/>
          <w:szCs w:val="20"/>
        </w:rPr>
        <w:t xml:space="preserve"> ve bu limite uygunluğun izlenmesi gerekir. Bu çerçevede, %99 güven aralığında, en yakın tarihli 250 iş</w:t>
      </w:r>
      <w:r w:rsidR="00A17CE5">
        <w:rPr>
          <w:rFonts w:ascii="CenturySchoolbook" w:hAnsi="CenturySchoolbook" w:cs="CenturySchoolbook"/>
          <w:sz w:val="24"/>
          <w:szCs w:val="20"/>
        </w:rPr>
        <w:t xml:space="preserve"> </w:t>
      </w:r>
      <w:r w:rsidRPr="00BD2ED0">
        <w:rPr>
          <w:rFonts w:ascii="CenturySchoolbook" w:hAnsi="CenturySchoolbook" w:cs="CenturySchoolbook"/>
          <w:sz w:val="24"/>
          <w:szCs w:val="20"/>
        </w:rPr>
        <w:t xml:space="preserve">gününde gerçekleşen aşım sayısı en fazla </w:t>
      </w:r>
      <w:r w:rsidR="00022F09">
        <w:rPr>
          <w:rFonts w:ascii="CenturySchoolbook" w:hAnsi="CenturySchoolbook" w:cs="CenturySchoolbook"/>
          <w:sz w:val="24"/>
          <w:szCs w:val="20"/>
        </w:rPr>
        <w:t>3</w:t>
      </w:r>
      <w:r w:rsidRPr="00BD2ED0">
        <w:rPr>
          <w:rFonts w:ascii="CenturySchoolbook" w:hAnsi="CenturySchoolbook" w:cs="CenturySchoolbook"/>
          <w:sz w:val="24"/>
          <w:szCs w:val="20"/>
        </w:rPr>
        <w:t xml:space="preserve"> olabilir. Aşım sayısının </w:t>
      </w:r>
      <w:r w:rsidR="00022F09">
        <w:rPr>
          <w:rFonts w:ascii="CenturySchoolbook" w:hAnsi="CenturySchoolbook" w:cs="CenturySchoolbook"/>
          <w:sz w:val="24"/>
          <w:szCs w:val="20"/>
        </w:rPr>
        <w:t>3</w:t>
      </w:r>
      <w:r>
        <w:rPr>
          <w:rFonts w:ascii="CenturySchoolbook" w:hAnsi="CenturySchoolbook" w:cs="CenturySchoolbook"/>
          <w:sz w:val="24"/>
          <w:szCs w:val="20"/>
        </w:rPr>
        <w:t>’</w:t>
      </w:r>
      <w:r w:rsidR="00980C5A">
        <w:rPr>
          <w:rFonts w:ascii="CenturySchoolbook" w:hAnsi="CenturySchoolbook" w:cs="CenturySchoolbook"/>
          <w:sz w:val="24"/>
          <w:szCs w:val="20"/>
        </w:rPr>
        <w:t>ü</w:t>
      </w:r>
      <w:r w:rsidR="00A17CE5">
        <w:rPr>
          <w:rFonts w:ascii="CenturySchoolbook" w:hAnsi="CenturySchoolbook" w:cs="CenturySchoolbook"/>
          <w:sz w:val="24"/>
          <w:szCs w:val="20"/>
        </w:rPr>
        <w:t xml:space="preserve"> </w:t>
      </w:r>
      <w:r w:rsidRPr="00BD2ED0">
        <w:rPr>
          <w:rFonts w:ascii="CenturySchoolbook" w:hAnsi="CenturySchoolbook" w:cs="CenturySchoolbook"/>
          <w:sz w:val="24"/>
          <w:szCs w:val="20"/>
        </w:rPr>
        <w:t xml:space="preserve">aşması halinde, kullanılan RMD </w:t>
      </w:r>
      <w:r>
        <w:rPr>
          <w:rFonts w:ascii="CenturySchoolbook" w:hAnsi="CenturySchoolbook" w:cs="CenturySchoolbook"/>
          <w:sz w:val="24"/>
          <w:szCs w:val="20"/>
        </w:rPr>
        <w:t>model</w:t>
      </w:r>
      <w:r w:rsidRPr="00BD2ED0">
        <w:rPr>
          <w:rFonts w:ascii="CenturySchoolbook" w:hAnsi="CenturySchoolbook" w:cs="CenturySchoolbook"/>
          <w:sz w:val="24"/>
          <w:szCs w:val="20"/>
        </w:rPr>
        <w:t xml:space="preserve">inin gözden geçirilerek, </w:t>
      </w:r>
      <w:r w:rsidR="003E525E">
        <w:rPr>
          <w:rFonts w:ascii="CenturySchoolbook" w:hAnsi="CenturySchoolbook" w:cs="CenturySchoolbook"/>
          <w:sz w:val="24"/>
          <w:szCs w:val="20"/>
        </w:rPr>
        <w:t xml:space="preserve">gerekli olması </w:t>
      </w:r>
      <w:r w:rsidR="003E525E" w:rsidRPr="001D2781">
        <w:rPr>
          <w:rFonts w:ascii="CenturySchoolbook" w:hAnsi="CenturySchoolbook" w:cs="CenturySchoolbook"/>
          <w:sz w:val="24"/>
          <w:szCs w:val="20"/>
        </w:rPr>
        <w:t xml:space="preserve">halinde modelde </w:t>
      </w:r>
      <w:r w:rsidRPr="001D2781">
        <w:rPr>
          <w:rFonts w:ascii="CenturySchoolbook" w:hAnsi="CenturySchoolbook" w:cs="CenturySchoolbook"/>
          <w:sz w:val="24"/>
          <w:szCs w:val="20"/>
        </w:rPr>
        <w:t xml:space="preserve">düzeltme ve iyileştirmelerin yapılması zorunludur.   </w:t>
      </w:r>
    </w:p>
    <w:p w:rsidR="002D6087" w:rsidRPr="001D2781" w:rsidRDefault="002D6087" w:rsidP="0006161B">
      <w:pPr>
        <w:pStyle w:val="ListParagraph"/>
        <w:numPr>
          <w:ilvl w:val="0"/>
          <w:numId w:val="24"/>
        </w:numPr>
        <w:autoSpaceDE w:val="0"/>
        <w:autoSpaceDN w:val="0"/>
        <w:adjustRightInd w:val="0"/>
        <w:spacing w:after="0" w:line="240" w:lineRule="auto"/>
        <w:jc w:val="both"/>
        <w:rPr>
          <w:rFonts w:ascii="CenturySchoolbook" w:hAnsi="CenturySchoolbook" w:cs="CenturySchoolbook"/>
          <w:sz w:val="24"/>
          <w:szCs w:val="20"/>
        </w:rPr>
      </w:pPr>
      <w:r w:rsidRPr="001D2781">
        <w:rPr>
          <w:rFonts w:ascii="CenturySchoolbook" w:hAnsi="CenturySchoolbook" w:cs="CenturySchoolbook"/>
          <w:sz w:val="24"/>
          <w:szCs w:val="20"/>
        </w:rPr>
        <w:t>%99 güven aralığında, en yakın tarihli 250 iş</w:t>
      </w:r>
      <w:r w:rsidR="00A17CE5" w:rsidRPr="001D2781">
        <w:rPr>
          <w:rFonts w:ascii="CenturySchoolbook" w:hAnsi="CenturySchoolbook" w:cs="CenturySchoolbook"/>
          <w:sz w:val="24"/>
          <w:szCs w:val="20"/>
        </w:rPr>
        <w:t xml:space="preserve"> </w:t>
      </w:r>
      <w:r w:rsidRPr="001D2781">
        <w:rPr>
          <w:rFonts w:ascii="CenturySchoolbook" w:hAnsi="CenturySchoolbook" w:cs="CenturySchoolbook"/>
          <w:sz w:val="24"/>
          <w:szCs w:val="20"/>
        </w:rPr>
        <w:t xml:space="preserve">gününde gerçekleşen aşım sayısının </w:t>
      </w:r>
      <w:r w:rsidR="00D9328E" w:rsidRPr="001D2781">
        <w:rPr>
          <w:rFonts w:ascii="CenturySchoolbook" w:hAnsi="CenturySchoolbook" w:cs="CenturySchoolbook"/>
          <w:sz w:val="24"/>
          <w:szCs w:val="20"/>
        </w:rPr>
        <w:t>5</w:t>
      </w:r>
      <w:r w:rsidRPr="001D2781">
        <w:rPr>
          <w:rFonts w:ascii="CenturySchoolbook" w:hAnsi="CenturySchoolbook" w:cs="CenturySchoolbook"/>
          <w:sz w:val="24"/>
          <w:szCs w:val="20"/>
        </w:rPr>
        <w:t xml:space="preserve">’i aşması halinde, </w:t>
      </w:r>
      <w:r w:rsidR="000D6AFA" w:rsidRPr="001D2781">
        <w:rPr>
          <w:rFonts w:ascii="CenturySchoolbook" w:hAnsi="CenturySchoolbook" w:cs="CenturySchoolbook"/>
          <w:sz w:val="24"/>
          <w:szCs w:val="20"/>
        </w:rPr>
        <w:t>Kurucunun üst yönetimi</w:t>
      </w:r>
      <w:r w:rsidR="0082371F" w:rsidRPr="001D2781">
        <w:rPr>
          <w:rFonts w:ascii="CenturySchoolbook" w:hAnsi="CenturySchoolbook" w:cs="CenturySchoolbook"/>
          <w:sz w:val="24"/>
          <w:szCs w:val="20"/>
        </w:rPr>
        <w:t>,</w:t>
      </w:r>
      <w:r w:rsidR="000D6AFA" w:rsidRPr="001D2781">
        <w:rPr>
          <w:rFonts w:ascii="CenturySchoolbook" w:hAnsi="CenturySchoolbook" w:cs="CenturySchoolbook"/>
          <w:sz w:val="24"/>
          <w:szCs w:val="20"/>
        </w:rPr>
        <w:t xml:space="preserve"> </w:t>
      </w:r>
      <w:r w:rsidRPr="001D2781">
        <w:rPr>
          <w:rFonts w:ascii="CenturySchoolbook" w:hAnsi="CenturySchoolbook" w:cs="CenturySchoolbook"/>
          <w:sz w:val="24"/>
          <w:szCs w:val="20"/>
        </w:rPr>
        <w:t>konuya ilişkin olarak hazırlanan bir rapor ile</w:t>
      </w:r>
      <w:r w:rsidR="00A01CE2" w:rsidRPr="001D2781">
        <w:rPr>
          <w:rFonts w:ascii="CenturySchoolbook" w:hAnsi="CenturySchoolbook" w:cs="CenturySchoolbook"/>
          <w:sz w:val="24"/>
          <w:szCs w:val="20"/>
        </w:rPr>
        <w:t xml:space="preserve"> risk yönetim birimi tarafından</w:t>
      </w:r>
      <w:r w:rsidRPr="001D2781">
        <w:rPr>
          <w:rFonts w:ascii="CenturySchoolbook" w:hAnsi="CenturySchoolbook" w:cs="CenturySchoolbook"/>
          <w:sz w:val="24"/>
          <w:szCs w:val="20"/>
        </w:rPr>
        <w:t xml:space="preserve"> </w:t>
      </w:r>
      <w:r w:rsidR="000D6AFA" w:rsidRPr="001D2781">
        <w:rPr>
          <w:rFonts w:ascii="CenturySchoolbook" w:hAnsi="CenturySchoolbook" w:cs="CenturySchoolbook"/>
          <w:sz w:val="24"/>
          <w:szCs w:val="20"/>
        </w:rPr>
        <w:t xml:space="preserve">aynı gün içinde </w:t>
      </w:r>
      <w:r w:rsidRPr="001D2781">
        <w:rPr>
          <w:rFonts w:ascii="CenturySchoolbook" w:hAnsi="CenturySchoolbook" w:cs="CenturySchoolbook"/>
          <w:sz w:val="24"/>
          <w:szCs w:val="20"/>
        </w:rPr>
        <w:t xml:space="preserve">bilgilendirilir. </w:t>
      </w:r>
      <w:r w:rsidR="00A01CE2" w:rsidRPr="001D2781">
        <w:rPr>
          <w:rFonts w:ascii="CenturySchoolbook" w:hAnsi="CenturySchoolbook" w:cs="CenturySchoolbook"/>
          <w:sz w:val="24"/>
          <w:szCs w:val="20"/>
        </w:rPr>
        <w:t xml:space="preserve">Böyle bir durumda, </w:t>
      </w:r>
      <w:r w:rsidRPr="001D2781">
        <w:rPr>
          <w:rFonts w:ascii="CenturySchoolbook" w:hAnsi="CenturySchoolbook" w:cs="CenturySchoolbook"/>
          <w:sz w:val="24"/>
          <w:szCs w:val="20"/>
        </w:rPr>
        <w:t>kullanılan geriye dönük test modelin</w:t>
      </w:r>
      <w:r w:rsidR="003E525E" w:rsidRPr="001D2781">
        <w:rPr>
          <w:rFonts w:ascii="CenturySchoolbook" w:hAnsi="CenturySchoolbook" w:cs="CenturySchoolbook"/>
          <w:sz w:val="24"/>
          <w:szCs w:val="20"/>
        </w:rPr>
        <w:t>e</w:t>
      </w:r>
      <w:r w:rsidRPr="001D2781">
        <w:rPr>
          <w:rFonts w:ascii="CenturySchoolbook" w:hAnsi="CenturySchoolbook" w:cs="CenturySchoolbook"/>
          <w:sz w:val="24"/>
          <w:szCs w:val="20"/>
        </w:rPr>
        <w:t xml:space="preserve"> ve/veya kullanılan RMD modelin</w:t>
      </w:r>
      <w:r w:rsidR="00980C5A" w:rsidRPr="001D2781">
        <w:rPr>
          <w:rFonts w:ascii="CenturySchoolbook" w:hAnsi="CenturySchoolbook" w:cs="CenturySchoolbook"/>
          <w:sz w:val="24"/>
          <w:szCs w:val="20"/>
        </w:rPr>
        <w:t>e ilişkin</w:t>
      </w:r>
      <w:r w:rsidRPr="001D2781">
        <w:rPr>
          <w:rFonts w:ascii="CenturySchoolbook" w:hAnsi="CenturySchoolbook" w:cs="CenturySchoolbook"/>
          <w:sz w:val="24"/>
          <w:szCs w:val="20"/>
        </w:rPr>
        <w:t xml:space="preserve"> gerekli düzeltme ve iyileştirmeler yapıl</w:t>
      </w:r>
      <w:r w:rsidR="003E525E" w:rsidRPr="001D2781">
        <w:rPr>
          <w:rFonts w:ascii="CenturySchoolbook" w:hAnsi="CenturySchoolbook" w:cs="CenturySchoolbook"/>
          <w:sz w:val="24"/>
          <w:szCs w:val="20"/>
        </w:rPr>
        <w:t>malı</w:t>
      </w:r>
      <w:r w:rsidR="00A01CE2" w:rsidRPr="001D2781">
        <w:rPr>
          <w:rFonts w:ascii="CenturySchoolbook" w:hAnsi="CenturySchoolbook" w:cs="CenturySchoolbook"/>
          <w:sz w:val="24"/>
          <w:szCs w:val="20"/>
        </w:rPr>
        <w:t>; risk yönetim hizmetinin dışarıdan alındığı durumlarda ise gerekli tedbirlerin alınması sağlanmalı</w:t>
      </w:r>
      <w:r w:rsidR="003E525E" w:rsidRPr="001D2781">
        <w:rPr>
          <w:rFonts w:ascii="CenturySchoolbook" w:hAnsi="CenturySchoolbook" w:cs="CenturySchoolbook"/>
          <w:sz w:val="24"/>
          <w:szCs w:val="20"/>
        </w:rPr>
        <w:t xml:space="preserve">dır. </w:t>
      </w:r>
      <w:r w:rsidR="001D2781">
        <w:rPr>
          <w:rFonts w:ascii="CenturySchoolbook" w:hAnsi="CenturySchoolbook" w:cs="CenturySchoolbook"/>
          <w:sz w:val="24"/>
          <w:szCs w:val="20"/>
        </w:rPr>
        <w:t xml:space="preserve">Ayrıca, </w:t>
      </w:r>
      <w:r w:rsidR="00A01CE2" w:rsidRPr="001D2781">
        <w:rPr>
          <w:rFonts w:ascii="CenturySchoolbook" w:hAnsi="CenturySchoolbook" w:cs="CenturySchoolbook"/>
          <w:sz w:val="24"/>
          <w:szCs w:val="20"/>
        </w:rPr>
        <w:t>söz konusu aşımı</w:t>
      </w:r>
      <w:r w:rsidR="001D2781">
        <w:rPr>
          <w:rFonts w:ascii="CenturySchoolbook" w:hAnsi="CenturySchoolbook" w:cs="CenturySchoolbook"/>
          <w:sz w:val="24"/>
          <w:szCs w:val="20"/>
        </w:rPr>
        <w:t>n meydana geldiği tarih</w:t>
      </w:r>
      <w:r w:rsidR="00BE202C">
        <w:rPr>
          <w:rFonts w:ascii="CenturySchoolbook" w:hAnsi="CenturySchoolbook" w:cs="CenturySchoolbook"/>
          <w:sz w:val="24"/>
          <w:szCs w:val="20"/>
        </w:rPr>
        <w:t>i izleyen en geç 5 iş günü içinde</w:t>
      </w:r>
      <w:r w:rsidR="001D2781">
        <w:rPr>
          <w:rFonts w:ascii="CenturySchoolbook" w:hAnsi="CenturySchoolbook" w:cs="CenturySchoolbook"/>
          <w:sz w:val="24"/>
          <w:szCs w:val="20"/>
        </w:rPr>
        <w:t xml:space="preserve"> Kurul</w:t>
      </w:r>
      <w:r w:rsidR="00A01CE2" w:rsidRPr="001D2781">
        <w:rPr>
          <w:rFonts w:ascii="CenturySchoolbook" w:hAnsi="CenturySchoolbook" w:cs="CenturySchoolbook"/>
          <w:sz w:val="24"/>
          <w:szCs w:val="20"/>
        </w:rPr>
        <w:t xml:space="preserve"> </w:t>
      </w:r>
      <w:r w:rsidR="00BE202C">
        <w:rPr>
          <w:rFonts w:ascii="CenturySchoolbook" w:hAnsi="CenturySchoolbook" w:cs="CenturySchoolbook"/>
          <w:sz w:val="24"/>
          <w:szCs w:val="20"/>
        </w:rPr>
        <w:t xml:space="preserve">konu hakkında </w:t>
      </w:r>
      <w:r w:rsidR="00A01CE2" w:rsidRPr="001D2781">
        <w:rPr>
          <w:rFonts w:ascii="CenturySchoolbook" w:hAnsi="CenturySchoolbook" w:cs="CenturySchoolbook"/>
          <w:sz w:val="24"/>
          <w:szCs w:val="20"/>
        </w:rPr>
        <w:t xml:space="preserve">bilgilendirilir ve konuya </w:t>
      </w:r>
      <w:r w:rsidR="000D6AFA" w:rsidRPr="001D2781">
        <w:rPr>
          <w:rFonts w:ascii="CenturySchoolbook" w:hAnsi="CenturySchoolbook" w:cs="CenturySchoolbook"/>
          <w:sz w:val="24"/>
          <w:szCs w:val="20"/>
        </w:rPr>
        <w:t>ilişkin olarak alınmış olan tedbirler</w:t>
      </w:r>
      <w:r w:rsidR="00A01CE2" w:rsidRPr="001D2781">
        <w:rPr>
          <w:rFonts w:ascii="CenturySchoolbook" w:hAnsi="CenturySchoolbook" w:cs="CenturySchoolbook"/>
          <w:sz w:val="24"/>
          <w:szCs w:val="20"/>
        </w:rPr>
        <w:t xml:space="preserve">i tevsik edici bilgi ve belgeler </w:t>
      </w:r>
      <w:r w:rsidR="003E525E" w:rsidRPr="001D2781">
        <w:rPr>
          <w:rFonts w:ascii="CenturySchoolbook" w:hAnsi="CenturySchoolbook" w:cs="CenturySchoolbook"/>
          <w:sz w:val="24"/>
          <w:szCs w:val="20"/>
        </w:rPr>
        <w:t>Kurul</w:t>
      </w:r>
      <w:r w:rsidR="00A01CE2" w:rsidRPr="001D2781">
        <w:rPr>
          <w:rFonts w:ascii="CenturySchoolbook" w:hAnsi="CenturySchoolbook" w:cs="CenturySchoolbook"/>
          <w:sz w:val="24"/>
          <w:szCs w:val="20"/>
        </w:rPr>
        <w:t xml:space="preserve">a </w:t>
      </w:r>
      <w:r w:rsidR="00026FE4" w:rsidRPr="001D2781">
        <w:rPr>
          <w:rFonts w:ascii="CenturySchoolbook" w:hAnsi="CenturySchoolbook" w:cs="CenturySchoolbook"/>
          <w:sz w:val="24"/>
          <w:szCs w:val="20"/>
        </w:rPr>
        <w:t>gönderilir</w:t>
      </w:r>
      <w:r w:rsidR="00A01CE2" w:rsidRPr="001D2781">
        <w:rPr>
          <w:rFonts w:ascii="CenturySchoolbook" w:hAnsi="CenturySchoolbook" w:cs="CenturySchoolbook"/>
          <w:sz w:val="24"/>
          <w:szCs w:val="20"/>
        </w:rPr>
        <w:t>.</w:t>
      </w:r>
    </w:p>
    <w:p w:rsidR="007B4DA6" w:rsidRDefault="00AD7211" w:rsidP="0006161B">
      <w:pPr>
        <w:pStyle w:val="ListParagraph"/>
        <w:numPr>
          <w:ilvl w:val="0"/>
          <w:numId w:val="24"/>
        </w:numPr>
        <w:autoSpaceDE w:val="0"/>
        <w:autoSpaceDN w:val="0"/>
        <w:adjustRightInd w:val="0"/>
        <w:spacing w:after="0" w:line="240" w:lineRule="auto"/>
        <w:jc w:val="both"/>
        <w:rPr>
          <w:rFonts w:ascii="CenturySchoolbook" w:hAnsi="CenturySchoolbook" w:cs="CenturySchoolbook"/>
          <w:sz w:val="24"/>
          <w:szCs w:val="20"/>
        </w:rPr>
      </w:pPr>
      <w:r w:rsidRPr="007B4DA6">
        <w:rPr>
          <w:rFonts w:ascii="CenturySchoolbook" w:hAnsi="CenturySchoolbook" w:cs="CenturySchoolbook"/>
          <w:sz w:val="24"/>
          <w:szCs w:val="20"/>
        </w:rPr>
        <w:t>Kuru</w:t>
      </w:r>
      <w:r w:rsidR="00BE202C">
        <w:rPr>
          <w:rFonts w:ascii="CenturySchoolbook" w:hAnsi="CenturySchoolbook" w:cs="CenturySchoolbook"/>
          <w:sz w:val="24"/>
          <w:szCs w:val="20"/>
        </w:rPr>
        <w:t>cu yönetim kurulu tarafından</w:t>
      </w:r>
      <w:r w:rsidRPr="007B4DA6">
        <w:rPr>
          <w:rFonts w:ascii="CenturySchoolbook" w:hAnsi="CenturySchoolbook" w:cs="CenturySchoolbook"/>
          <w:sz w:val="24"/>
          <w:szCs w:val="20"/>
        </w:rPr>
        <w:t xml:space="preserve">, olağandışı </w:t>
      </w:r>
      <w:r w:rsidR="00976048" w:rsidRPr="007B4DA6">
        <w:rPr>
          <w:rFonts w:ascii="CenturySchoolbook" w:hAnsi="CenturySchoolbook" w:cs="CenturySchoolbook"/>
          <w:sz w:val="24"/>
          <w:szCs w:val="20"/>
        </w:rPr>
        <w:t>piyasa koşullarının varlığı</w:t>
      </w:r>
      <w:r w:rsidR="00A90E4D" w:rsidRPr="007B4DA6">
        <w:rPr>
          <w:rFonts w:ascii="CenturySchoolbook" w:hAnsi="CenturySchoolbook" w:cs="CenturySchoolbook"/>
          <w:sz w:val="24"/>
          <w:szCs w:val="20"/>
        </w:rPr>
        <w:t xml:space="preserve"> halinde söz konusu piyasa koşulları</w:t>
      </w:r>
      <w:r w:rsidR="00976048" w:rsidRPr="007B4DA6">
        <w:rPr>
          <w:rFonts w:ascii="CenturySchoolbook" w:hAnsi="CenturySchoolbook" w:cs="CenturySchoolbook"/>
          <w:sz w:val="24"/>
          <w:szCs w:val="20"/>
        </w:rPr>
        <w:t xml:space="preserve">ndan kaynaklanan </w:t>
      </w:r>
      <w:r w:rsidR="00976048" w:rsidRPr="00FF0603">
        <w:rPr>
          <w:rFonts w:ascii="CenturySchoolbook" w:hAnsi="CenturySchoolbook" w:cs="CenturySchoolbook"/>
          <w:sz w:val="24"/>
          <w:szCs w:val="20"/>
        </w:rPr>
        <w:t>aşımları</w:t>
      </w:r>
      <w:r w:rsidR="00FF0603">
        <w:rPr>
          <w:rFonts w:ascii="CenturySchoolbook" w:hAnsi="CenturySchoolbook" w:cs="CenturySchoolbook"/>
          <w:sz w:val="24"/>
          <w:szCs w:val="20"/>
        </w:rPr>
        <w:t>n</w:t>
      </w:r>
      <w:r w:rsidR="00976048" w:rsidRPr="00FF0603">
        <w:rPr>
          <w:rFonts w:ascii="CenturySchoolbook" w:hAnsi="CenturySchoolbook" w:cs="CenturySchoolbook"/>
          <w:sz w:val="24"/>
          <w:szCs w:val="20"/>
        </w:rPr>
        <w:t xml:space="preserve"> </w:t>
      </w:r>
      <w:r w:rsidR="007B4DA6" w:rsidRPr="00FF0603">
        <w:rPr>
          <w:rFonts w:ascii="CenturySchoolbook" w:hAnsi="CenturySchoolbook" w:cs="CenturySchoolbook"/>
          <w:sz w:val="24"/>
          <w:szCs w:val="20"/>
        </w:rPr>
        <w:t>(</w:t>
      </w:r>
      <w:r w:rsidR="007B4DA6" w:rsidRPr="007B4DA6">
        <w:rPr>
          <w:rFonts w:ascii="CenturySchoolbook" w:hAnsi="CenturySchoolbook" w:cs="CenturySchoolbook"/>
          <w:sz w:val="24"/>
          <w:szCs w:val="20"/>
        </w:rPr>
        <w:t>d)</w:t>
      </w:r>
      <w:r w:rsidR="007B4DA6">
        <w:rPr>
          <w:rFonts w:ascii="CenturySchoolbook" w:hAnsi="CenturySchoolbook" w:cs="CenturySchoolbook"/>
          <w:sz w:val="24"/>
          <w:szCs w:val="20"/>
        </w:rPr>
        <w:t xml:space="preserve"> ve </w:t>
      </w:r>
      <w:r w:rsidR="007B4DA6" w:rsidRPr="007B4DA6">
        <w:rPr>
          <w:rFonts w:ascii="CenturySchoolbook" w:hAnsi="CenturySchoolbook" w:cs="CenturySchoolbook"/>
          <w:sz w:val="24"/>
          <w:szCs w:val="20"/>
        </w:rPr>
        <w:t xml:space="preserve">(e) bendi kapsamında </w:t>
      </w:r>
      <w:r w:rsidR="00F42461" w:rsidRPr="007B4DA6">
        <w:rPr>
          <w:rFonts w:ascii="CenturySchoolbook" w:hAnsi="CenturySchoolbook" w:cs="CenturySchoolbook"/>
          <w:sz w:val="24"/>
          <w:szCs w:val="20"/>
        </w:rPr>
        <w:t>dikkate al</w:t>
      </w:r>
      <w:r w:rsidR="007B4DA6">
        <w:rPr>
          <w:rFonts w:ascii="CenturySchoolbook" w:hAnsi="CenturySchoolbook" w:cs="CenturySchoolbook"/>
          <w:sz w:val="24"/>
          <w:szCs w:val="20"/>
        </w:rPr>
        <w:t xml:space="preserve">ınmamasına karar verebilir. </w:t>
      </w:r>
      <w:r w:rsidR="00BE202C" w:rsidRPr="00BE202C">
        <w:rPr>
          <w:rFonts w:ascii="CenturySchoolbook" w:hAnsi="CenturySchoolbook" w:cs="CenturySchoolbook"/>
          <w:sz w:val="24"/>
          <w:szCs w:val="20"/>
        </w:rPr>
        <w:t>Bu durumda, anılan karar ile karara dayanak teşkil eden bilgi ve belgeler kararın alınmasını takip eden en geç 5 iş günü içinde Kurula gönderilir ve Kurucu nezdinde muhafaza edilir</w:t>
      </w:r>
      <w:r w:rsidR="00BE202C">
        <w:rPr>
          <w:rFonts w:ascii="CenturySchoolbook" w:hAnsi="CenturySchoolbook" w:cs="CenturySchoolbook"/>
          <w:sz w:val="24"/>
          <w:szCs w:val="20"/>
        </w:rPr>
        <w:t>.</w:t>
      </w:r>
    </w:p>
    <w:p w:rsidR="002D6087" w:rsidRPr="007B4DA6" w:rsidRDefault="002D6087" w:rsidP="007B4DA6">
      <w:pPr>
        <w:pStyle w:val="ListParagraph"/>
        <w:autoSpaceDE w:val="0"/>
        <w:autoSpaceDN w:val="0"/>
        <w:adjustRightInd w:val="0"/>
        <w:spacing w:after="0" w:line="240" w:lineRule="auto"/>
        <w:jc w:val="both"/>
        <w:rPr>
          <w:rFonts w:ascii="CenturySchoolbook" w:hAnsi="CenturySchoolbook" w:cs="CenturySchoolbook"/>
          <w:sz w:val="24"/>
          <w:szCs w:val="20"/>
        </w:rPr>
      </w:pPr>
    </w:p>
    <w:p w:rsidR="002D6087" w:rsidRPr="00F47904" w:rsidRDefault="002D6087" w:rsidP="00C275D1">
      <w:pPr>
        <w:pStyle w:val="Heading3"/>
        <w:spacing w:after="240"/>
      </w:pPr>
      <w:bookmarkStart w:id="250" w:name="_Toc130312607"/>
      <w:bookmarkStart w:id="251" w:name="_Toc130312740"/>
      <w:r w:rsidRPr="00F47904">
        <w:t>7.6.</w:t>
      </w:r>
      <w:r w:rsidR="00F47904" w:rsidRPr="00F47904">
        <w:t>5</w:t>
      </w:r>
      <w:r w:rsidRPr="00F47904">
        <w:t>. Stres Testi</w:t>
      </w:r>
      <w:bookmarkEnd w:id="250"/>
      <w:bookmarkEnd w:id="251"/>
    </w:p>
    <w:p w:rsidR="00C275D1" w:rsidRDefault="002D6087" w:rsidP="00254D76">
      <w:pPr>
        <w:ind w:firstLine="708"/>
        <w:jc w:val="both"/>
      </w:pPr>
      <w:r w:rsidRPr="007E0124">
        <w:rPr>
          <w:rFonts w:ascii="CenturySchoolbook" w:hAnsi="CenturySchoolbook" w:cs="CenturySchoolbook"/>
          <w:sz w:val="24"/>
          <w:szCs w:val="20"/>
        </w:rPr>
        <w:t>Stres testi,  piyasada meydana gelen beklenmedik ve olağandışı gelişmelerin fon toplam değerine olan etkilerini analiz etmeye yarayan tekniklerin tümünü ifade eder.</w:t>
      </w:r>
    </w:p>
    <w:p w:rsidR="002D6087" w:rsidRPr="00572B1F" w:rsidRDefault="002D6087" w:rsidP="00254D76">
      <w:pPr>
        <w:ind w:firstLine="708"/>
        <w:jc w:val="both"/>
        <w:rPr>
          <w:rFonts w:ascii="CenturySchoolbook" w:hAnsi="CenturySchoolbook" w:cs="CenturySchoolbook"/>
          <w:sz w:val="24"/>
          <w:szCs w:val="20"/>
        </w:rPr>
      </w:pPr>
      <w:r w:rsidRPr="00572B1F">
        <w:rPr>
          <w:rFonts w:ascii="CenturySchoolbook" w:hAnsi="CenturySchoolbook" w:cs="CenturySchoolbook"/>
          <w:sz w:val="24"/>
          <w:szCs w:val="20"/>
        </w:rPr>
        <w:t>Genel ilkeler olarak;</w:t>
      </w:r>
    </w:p>
    <w:p w:rsidR="002D6087" w:rsidRPr="00A2305E" w:rsidRDefault="002D6087" w:rsidP="0006161B">
      <w:pPr>
        <w:pStyle w:val="ListParagraph"/>
        <w:numPr>
          <w:ilvl w:val="0"/>
          <w:numId w:val="55"/>
        </w:numPr>
        <w:jc w:val="both"/>
        <w:rPr>
          <w:rFonts w:ascii="Times New Roman" w:hAnsi="Times New Roman" w:cs="Times New Roman"/>
        </w:rPr>
      </w:pPr>
      <w:r w:rsidRPr="00A2305E">
        <w:rPr>
          <w:rFonts w:ascii="Times New Roman" w:hAnsi="Times New Roman" w:cs="Times New Roman"/>
          <w:sz w:val="24"/>
          <w:szCs w:val="20"/>
        </w:rPr>
        <w:t xml:space="preserve">Stres testinin karmaşıklık seviyesi ile fonun risk profili uyumlu olmalıdır.  </w:t>
      </w:r>
    </w:p>
    <w:p w:rsidR="002D6087" w:rsidRPr="00A2305E" w:rsidRDefault="002D6087" w:rsidP="0006161B">
      <w:pPr>
        <w:pStyle w:val="ListParagraph"/>
        <w:numPr>
          <w:ilvl w:val="0"/>
          <w:numId w:val="55"/>
        </w:numPr>
        <w:jc w:val="both"/>
        <w:rPr>
          <w:rFonts w:ascii="Times New Roman" w:hAnsi="Times New Roman" w:cs="Times New Roman"/>
        </w:rPr>
      </w:pPr>
      <w:r w:rsidRPr="00A2305E">
        <w:rPr>
          <w:rFonts w:ascii="Times New Roman" w:hAnsi="Times New Roman" w:cs="Times New Roman"/>
          <w:sz w:val="24"/>
          <w:szCs w:val="20"/>
        </w:rPr>
        <w:t xml:space="preserve">Stres testlerinin fonun risk yönetim süreçlerine dahil edilerek stres testi sonuçlarının risk yönetim birimi tarafından düzenli olarak izlenmesi, analiz edilmesi ve üst yönetime sunulması gerekir. </w:t>
      </w:r>
    </w:p>
    <w:p w:rsidR="002D6087" w:rsidRPr="00AC0D14" w:rsidRDefault="002D6087" w:rsidP="0006161B">
      <w:pPr>
        <w:pStyle w:val="ListParagraph"/>
        <w:numPr>
          <w:ilvl w:val="0"/>
          <w:numId w:val="55"/>
        </w:numPr>
        <w:autoSpaceDE w:val="0"/>
        <w:autoSpaceDN w:val="0"/>
        <w:adjustRightInd w:val="0"/>
        <w:spacing w:after="0" w:line="240" w:lineRule="auto"/>
        <w:jc w:val="both"/>
        <w:rPr>
          <w:rFonts w:ascii="CenturySchoolbook" w:hAnsi="CenturySchoolbook" w:cs="CenturySchoolbook"/>
          <w:sz w:val="24"/>
          <w:szCs w:val="20"/>
        </w:rPr>
      </w:pPr>
      <w:r w:rsidRPr="00A2305E">
        <w:rPr>
          <w:rFonts w:ascii="Times New Roman" w:hAnsi="Times New Roman" w:cs="Times New Roman"/>
          <w:sz w:val="24"/>
          <w:szCs w:val="20"/>
        </w:rPr>
        <w:t xml:space="preserve">Stres testi senaryolarının piyasalar ve diğer çevresel faktörlerde meydana gelen olağandışı değişiklikleri yansıtacak şekilde seçilmesi ve uygulanması gerekir. Fonun yatırım stratejisi ve risk profiline bağlı olarak fon toplam değeri üzerinde etkisi olabilecek </w:t>
      </w:r>
      <w:r w:rsidRPr="00AC0D14">
        <w:rPr>
          <w:rFonts w:ascii="CenturySchoolbook" w:hAnsi="CenturySchoolbook" w:cs="CenturySchoolbook"/>
          <w:sz w:val="24"/>
          <w:szCs w:val="20"/>
        </w:rPr>
        <w:t xml:space="preserve">faktörlerin değişimine ilişkin senaryolar oluşturulabilir. Böyle bir durumda, söz konusu senaryolara ilişkin erken uyarı ve önlem prosedürleri oluşturulur. </w:t>
      </w:r>
    </w:p>
    <w:p w:rsidR="002D6087" w:rsidRDefault="002D6087" w:rsidP="002D6087">
      <w:pPr>
        <w:ind w:firstLine="360"/>
        <w:jc w:val="both"/>
      </w:pPr>
    </w:p>
    <w:p w:rsidR="002D6087" w:rsidRDefault="002D6087" w:rsidP="00254D76">
      <w:pPr>
        <w:ind w:firstLine="708"/>
        <w:jc w:val="both"/>
        <w:rPr>
          <w:rFonts w:ascii="CenturySchoolbook" w:hAnsi="CenturySchoolbook" w:cs="CenturySchoolbook"/>
          <w:sz w:val="24"/>
          <w:szCs w:val="20"/>
        </w:rPr>
      </w:pPr>
      <w:r w:rsidRPr="00AC0D14">
        <w:rPr>
          <w:rFonts w:ascii="CenturySchoolbook" w:hAnsi="CenturySchoolbook" w:cs="CenturySchoolbook"/>
          <w:sz w:val="24"/>
          <w:szCs w:val="20"/>
        </w:rPr>
        <w:t>RMD yöntemini kullanan fonlar taraf</w:t>
      </w:r>
      <w:r>
        <w:rPr>
          <w:rFonts w:ascii="CenturySchoolbook" w:hAnsi="CenturySchoolbook" w:cs="CenturySchoolbook"/>
          <w:sz w:val="24"/>
          <w:szCs w:val="20"/>
        </w:rPr>
        <w:t>ından, aşağıda yer alan niteliksel ve niceliksel şartlar çerçevesinde</w:t>
      </w:r>
      <w:r w:rsidRPr="00AC0D14">
        <w:rPr>
          <w:rFonts w:ascii="CenturySchoolbook" w:hAnsi="CenturySchoolbook" w:cs="CenturySchoolbook"/>
          <w:sz w:val="24"/>
          <w:szCs w:val="20"/>
        </w:rPr>
        <w:t xml:space="preserve"> stres testinin uygulanması zorunludur</w:t>
      </w:r>
      <w:r w:rsidR="00C275D1">
        <w:rPr>
          <w:rFonts w:ascii="CenturySchoolbook" w:hAnsi="CenturySchoolbook" w:cs="CenturySchoolbook"/>
          <w:sz w:val="24"/>
          <w:szCs w:val="20"/>
        </w:rPr>
        <w:t>.</w:t>
      </w:r>
    </w:p>
    <w:p w:rsidR="002D6087" w:rsidRDefault="002D6087" w:rsidP="00F47904">
      <w:pPr>
        <w:pStyle w:val="Heading4"/>
        <w:rPr>
          <w:i w:val="0"/>
        </w:rPr>
      </w:pPr>
      <w:r w:rsidRPr="00F47904">
        <w:rPr>
          <w:i w:val="0"/>
        </w:rPr>
        <w:t>7.6.</w:t>
      </w:r>
      <w:r w:rsidR="00F47904" w:rsidRPr="00F47904">
        <w:rPr>
          <w:i w:val="0"/>
        </w:rPr>
        <w:t>5</w:t>
      </w:r>
      <w:r w:rsidRPr="00F47904">
        <w:rPr>
          <w:i w:val="0"/>
        </w:rPr>
        <w:t xml:space="preserve">.1. Niceliksel Şartlar </w:t>
      </w:r>
    </w:p>
    <w:p w:rsidR="00F47904" w:rsidRPr="00F47904" w:rsidRDefault="00F47904" w:rsidP="00F47904"/>
    <w:p w:rsidR="002D6087" w:rsidRPr="000E03E9" w:rsidRDefault="002D6087" w:rsidP="0006161B">
      <w:pPr>
        <w:pStyle w:val="ListParagraph"/>
        <w:numPr>
          <w:ilvl w:val="0"/>
          <w:numId w:val="35"/>
        </w:numPr>
        <w:autoSpaceDE w:val="0"/>
        <w:autoSpaceDN w:val="0"/>
        <w:adjustRightInd w:val="0"/>
        <w:spacing w:after="0" w:line="240" w:lineRule="auto"/>
        <w:ind w:left="567"/>
        <w:jc w:val="both"/>
        <w:rPr>
          <w:rFonts w:ascii="CenturySchoolbook" w:hAnsi="CenturySchoolbook" w:cs="CenturySchoolbook"/>
          <w:sz w:val="24"/>
          <w:szCs w:val="20"/>
        </w:rPr>
      </w:pPr>
      <w:r w:rsidRPr="004603A9">
        <w:rPr>
          <w:rFonts w:ascii="CenturySchoolbook" w:hAnsi="CenturySchoolbook" w:cs="CenturySchoolbook"/>
          <w:sz w:val="24"/>
          <w:szCs w:val="20"/>
        </w:rPr>
        <w:t>Stres testi, özellikle kullanılan RMD modeli ile kapsanmamış olan ve fon toplam değerine veya fon toplam değerinde yaşanan dalgalanmalara önemli düzeyde etki eden tüm riskleri kapsamalıdır. Bu çerçevede,</w:t>
      </w:r>
      <w:r w:rsidR="00900641">
        <w:rPr>
          <w:rFonts w:ascii="CenturySchoolbook" w:hAnsi="CenturySchoolbook" w:cs="CenturySchoolbook"/>
          <w:sz w:val="24"/>
          <w:szCs w:val="20"/>
        </w:rPr>
        <w:t xml:space="preserve"> </w:t>
      </w:r>
      <w:r w:rsidRPr="000E03E9">
        <w:rPr>
          <w:rFonts w:ascii="CenturySchoolbook" w:hAnsi="CenturySchoolbook" w:cs="CenturySchoolbook"/>
          <w:sz w:val="24"/>
          <w:szCs w:val="20"/>
        </w:rPr>
        <w:t>stres testinde, asgari olarak fonun yatırımları nedeniyle maruz kaldığı olay riski</w:t>
      </w:r>
      <w:r w:rsidRPr="000E03E9">
        <w:rPr>
          <w:rStyle w:val="FootnoteReference"/>
          <w:rFonts w:ascii="CenturySchoolbook" w:hAnsi="CenturySchoolbook" w:cs="CenturySchoolbook"/>
          <w:sz w:val="24"/>
          <w:szCs w:val="20"/>
        </w:rPr>
        <w:footnoteReference w:id="20"/>
      </w:r>
      <w:r w:rsidRPr="000E03E9">
        <w:rPr>
          <w:rFonts w:ascii="CenturySchoolbook" w:hAnsi="CenturySchoolbook" w:cs="CenturySchoolbook"/>
          <w:sz w:val="24"/>
          <w:szCs w:val="20"/>
        </w:rPr>
        <w:t xml:space="preserve"> (event risk ) dikkate alınmalıdır.</w:t>
      </w:r>
    </w:p>
    <w:p w:rsidR="002D6087" w:rsidRPr="00BD2ED0" w:rsidRDefault="002D6087" w:rsidP="0006161B">
      <w:pPr>
        <w:pStyle w:val="ListParagraph"/>
        <w:numPr>
          <w:ilvl w:val="0"/>
          <w:numId w:val="35"/>
        </w:numPr>
        <w:autoSpaceDE w:val="0"/>
        <w:autoSpaceDN w:val="0"/>
        <w:adjustRightInd w:val="0"/>
        <w:spacing w:after="0" w:line="240" w:lineRule="auto"/>
        <w:ind w:left="567"/>
        <w:jc w:val="both"/>
        <w:rPr>
          <w:rFonts w:ascii="CenturySchoolbook" w:hAnsi="CenturySchoolbook" w:cs="CenturySchoolbook"/>
          <w:sz w:val="24"/>
          <w:szCs w:val="20"/>
        </w:rPr>
      </w:pPr>
      <w:r>
        <w:rPr>
          <w:rFonts w:ascii="CenturySchoolbook" w:hAnsi="CenturySchoolbook" w:cs="CenturySchoolbook"/>
          <w:sz w:val="24"/>
          <w:szCs w:val="20"/>
        </w:rPr>
        <w:t>Stres t</w:t>
      </w:r>
      <w:r w:rsidRPr="00BD2ED0">
        <w:rPr>
          <w:rFonts w:ascii="CenturySchoolbook" w:hAnsi="CenturySchoolbook" w:cs="CenturySchoolbook"/>
          <w:sz w:val="24"/>
          <w:szCs w:val="20"/>
        </w:rPr>
        <w:t>esti, yüksek oranda kaldıraç kullanımının fon için önemli riskler oluşturduğu ve fon toplam değerinin negatif olmasına yol açabilecek durumların analizi</w:t>
      </w:r>
      <w:r>
        <w:rPr>
          <w:rFonts w:ascii="CenturySchoolbook" w:hAnsi="CenturySchoolbook" w:cs="CenturySchoolbook"/>
          <w:sz w:val="24"/>
          <w:szCs w:val="20"/>
        </w:rPr>
        <w:t>ne</w:t>
      </w:r>
      <w:r w:rsidR="00A17CE5">
        <w:rPr>
          <w:rFonts w:ascii="CenturySchoolbook" w:hAnsi="CenturySchoolbook" w:cs="CenturySchoolbook"/>
          <w:sz w:val="24"/>
          <w:szCs w:val="20"/>
        </w:rPr>
        <w:t xml:space="preserve"> </w:t>
      </w:r>
      <w:r>
        <w:rPr>
          <w:rFonts w:ascii="CenturySchoolbook" w:hAnsi="CenturySchoolbook" w:cs="CenturySchoolbook"/>
          <w:sz w:val="24"/>
          <w:szCs w:val="20"/>
        </w:rPr>
        <w:t>imkan sağlamalıdır.</w:t>
      </w:r>
    </w:p>
    <w:p w:rsidR="002D6087" w:rsidRPr="00BD2ED0" w:rsidRDefault="002D6087" w:rsidP="0006161B">
      <w:pPr>
        <w:pStyle w:val="ListParagraph"/>
        <w:numPr>
          <w:ilvl w:val="0"/>
          <w:numId w:val="35"/>
        </w:numPr>
        <w:autoSpaceDE w:val="0"/>
        <w:autoSpaceDN w:val="0"/>
        <w:adjustRightInd w:val="0"/>
        <w:spacing w:after="0" w:line="240" w:lineRule="auto"/>
        <w:ind w:left="567"/>
        <w:jc w:val="both"/>
        <w:rPr>
          <w:rFonts w:ascii="CenturySchoolbook" w:hAnsi="CenturySchoolbook" w:cs="CenturySchoolbook"/>
          <w:sz w:val="24"/>
          <w:szCs w:val="20"/>
        </w:rPr>
      </w:pPr>
      <w:r w:rsidRPr="00BD2ED0">
        <w:rPr>
          <w:rFonts w:ascii="CenturySchoolbook" w:hAnsi="CenturySchoolbook" w:cs="CenturySchoolbook"/>
          <w:sz w:val="24"/>
          <w:szCs w:val="20"/>
        </w:rPr>
        <w:t xml:space="preserve">Stres testi, normal şartlar altında dikkate alınmayan, ancak olumsuz piyasa koşullarında önemi artan; olağandışı korelasyon değişiklikleri, olumsuz piyasa koşullarında ortaya çıkan likidite problemi ile bu </w:t>
      </w:r>
      <w:r>
        <w:rPr>
          <w:rFonts w:ascii="CenturySchoolbook" w:hAnsi="CenturySchoolbook" w:cs="CenturySchoolbook"/>
          <w:sz w:val="24"/>
          <w:szCs w:val="20"/>
        </w:rPr>
        <w:t>koşullarda</w:t>
      </w:r>
      <w:r w:rsidRPr="00BD2ED0">
        <w:rPr>
          <w:rFonts w:ascii="CenturySchoolbook" w:hAnsi="CenturySchoolbook" w:cs="CenturySchoolbook"/>
          <w:sz w:val="24"/>
          <w:szCs w:val="20"/>
        </w:rPr>
        <w:t xml:space="preserve"> yapılandırılmış araçların davranışları gibi riskler üzerine odaklanmalıdır. </w:t>
      </w:r>
    </w:p>
    <w:p w:rsidR="00F47904" w:rsidRDefault="00F47904" w:rsidP="00F47904">
      <w:pPr>
        <w:jc w:val="both"/>
        <w:rPr>
          <w:rFonts w:ascii="CenturySchoolbook" w:hAnsi="CenturySchoolbook" w:cs="CenturySchoolbook"/>
          <w:b/>
          <w:sz w:val="24"/>
          <w:szCs w:val="20"/>
        </w:rPr>
      </w:pPr>
    </w:p>
    <w:p w:rsidR="002D6087" w:rsidRDefault="002D6087" w:rsidP="00F47904">
      <w:pPr>
        <w:pStyle w:val="Heading4"/>
        <w:rPr>
          <w:i w:val="0"/>
        </w:rPr>
      </w:pPr>
      <w:r w:rsidRPr="00F47904">
        <w:rPr>
          <w:i w:val="0"/>
        </w:rPr>
        <w:t>7.6.</w:t>
      </w:r>
      <w:r w:rsidR="00F47904" w:rsidRPr="00F47904">
        <w:rPr>
          <w:i w:val="0"/>
        </w:rPr>
        <w:t>5</w:t>
      </w:r>
      <w:r w:rsidRPr="00F47904">
        <w:rPr>
          <w:i w:val="0"/>
        </w:rPr>
        <w:t>.2. Niteliksel Şartlar</w:t>
      </w:r>
    </w:p>
    <w:p w:rsidR="00F47904" w:rsidRPr="00F47904" w:rsidRDefault="00F47904" w:rsidP="00F47904"/>
    <w:p w:rsidR="002D6087" w:rsidRDefault="002D6087" w:rsidP="0006161B">
      <w:pPr>
        <w:pStyle w:val="ListParagraph"/>
        <w:numPr>
          <w:ilvl w:val="0"/>
          <w:numId w:val="54"/>
        </w:numPr>
        <w:autoSpaceDE w:val="0"/>
        <w:autoSpaceDN w:val="0"/>
        <w:adjustRightInd w:val="0"/>
        <w:spacing w:after="0" w:line="240" w:lineRule="auto"/>
        <w:ind w:left="567"/>
        <w:jc w:val="both"/>
        <w:rPr>
          <w:rFonts w:ascii="CenturySchoolbook" w:hAnsi="CenturySchoolbook" w:cs="CenturySchoolbook"/>
          <w:sz w:val="24"/>
          <w:szCs w:val="20"/>
        </w:rPr>
      </w:pPr>
      <w:r w:rsidRPr="00BD2ED0">
        <w:rPr>
          <w:rFonts w:ascii="CenturySchoolbook" w:hAnsi="CenturySchoolbook" w:cs="CenturySchoolbook"/>
          <w:sz w:val="24"/>
          <w:szCs w:val="20"/>
        </w:rPr>
        <w:t xml:space="preserve">Stres testleri, en az ayda bir kez olmak üzere düzenli olarak gerçekleştirilmelidir. Unvanında “endeks” ibaresi olan fonlar bu testleri </w:t>
      </w:r>
      <w:r>
        <w:rPr>
          <w:rFonts w:ascii="CenturySchoolbook" w:hAnsi="CenturySchoolbook" w:cs="CenturySchoolbook"/>
          <w:sz w:val="24"/>
          <w:szCs w:val="20"/>
        </w:rPr>
        <w:t xml:space="preserve">en az üç ayda bir </w:t>
      </w:r>
      <w:r w:rsidRPr="00BD2ED0">
        <w:rPr>
          <w:rFonts w:ascii="CenturySchoolbook" w:hAnsi="CenturySchoolbook" w:cs="CenturySchoolbook"/>
          <w:sz w:val="24"/>
          <w:szCs w:val="20"/>
        </w:rPr>
        <w:t>gerçekleştirebilir. Portföy dağılımında, portföydeki varlıkların değerinde ya da piyasa koşullarındaki bir değişikliğin test sonuçlarını önemli ölçüde değiştirmesinin muhtemel olduğu durumlarda ayrıca stres testi uygulanmalıdır. Stres testlerinin değiştirilmesi halinde, eskiden uygulanan test ile yeni test en az bir defa aynı anda uygulanır ve test sonuçları karşılaştırılır.</w:t>
      </w:r>
    </w:p>
    <w:p w:rsidR="002D6087" w:rsidRDefault="002D6087" w:rsidP="0006161B">
      <w:pPr>
        <w:pStyle w:val="ListParagraph"/>
        <w:numPr>
          <w:ilvl w:val="0"/>
          <w:numId w:val="54"/>
        </w:numPr>
        <w:autoSpaceDE w:val="0"/>
        <w:autoSpaceDN w:val="0"/>
        <w:adjustRightInd w:val="0"/>
        <w:spacing w:after="0" w:line="240" w:lineRule="auto"/>
        <w:ind w:left="567"/>
        <w:jc w:val="both"/>
        <w:rPr>
          <w:rFonts w:ascii="CenturySchoolbook" w:hAnsi="CenturySchoolbook" w:cs="CenturySchoolbook"/>
          <w:sz w:val="24"/>
          <w:szCs w:val="20"/>
        </w:rPr>
      </w:pPr>
      <w:r w:rsidRPr="00AC0D14">
        <w:rPr>
          <w:rFonts w:ascii="CenturySchoolbook" w:hAnsi="CenturySchoolbook" w:cs="CenturySchoolbook"/>
          <w:sz w:val="24"/>
          <w:szCs w:val="20"/>
        </w:rPr>
        <w:t>Stres testleri, fonun portföy dağılımı ve fona etki eden piyasa şartları ile uyumlu olacak şekilde hazırlanmalıdır.</w:t>
      </w:r>
    </w:p>
    <w:p w:rsidR="002D6087" w:rsidRDefault="002D6087" w:rsidP="0006161B">
      <w:pPr>
        <w:pStyle w:val="ListParagraph"/>
        <w:numPr>
          <w:ilvl w:val="0"/>
          <w:numId w:val="54"/>
        </w:numPr>
        <w:autoSpaceDE w:val="0"/>
        <w:autoSpaceDN w:val="0"/>
        <w:adjustRightInd w:val="0"/>
        <w:spacing w:after="0" w:line="240" w:lineRule="auto"/>
        <w:ind w:left="567"/>
        <w:jc w:val="both"/>
        <w:rPr>
          <w:rFonts w:ascii="CenturySchoolbook" w:hAnsi="CenturySchoolbook" w:cs="CenturySchoolbook"/>
          <w:sz w:val="24"/>
          <w:szCs w:val="20"/>
        </w:rPr>
      </w:pPr>
      <w:r w:rsidRPr="00B41E38">
        <w:rPr>
          <w:rFonts w:ascii="CenturySchoolbook" w:hAnsi="CenturySchoolbook" w:cs="CenturySchoolbook"/>
          <w:sz w:val="24"/>
          <w:szCs w:val="20"/>
        </w:rPr>
        <w:t xml:space="preserve">Risk yönetim birimi tarafından, stres testlerinin hazırlanması ile koşulların gerektirdiği uyarlamaların gerçekleştirilmesi için gerekli prosedürler belirlenir. Ayrıca, her fon için ayrı bir stres testi prosedürü hazırlanması ve bu prosedürün fon için uygun olduğuna ilişkin açıklamalara prosedürde yer verilmesi zorunludur. Tamamlanmış stres testlerine ve sonuçlarına ilişkin her türlü bilgi ve </w:t>
      </w:r>
      <w:r w:rsidRPr="001D2781">
        <w:rPr>
          <w:rFonts w:ascii="CenturySchoolbook" w:hAnsi="CenturySchoolbook" w:cs="CenturySchoolbook"/>
          <w:sz w:val="24"/>
          <w:szCs w:val="20"/>
        </w:rPr>
        <w:t>belge</w:t>
      </w:r>
      <w:r w:rsidR="00A17CE5" w:rsidRPr="001D2781">
        <w:rPr>
          <w:rFonts w:ascii="CenturySchoolbook" w:hAnsi="CenturySchoolbook" w:cs="CenturySchoolbook"/>
          <w:sz w:val="24"/>
          <w:szCs w:val="20"/>
        </w:rPr>
        <w:t xml:space="preserve"> </w:t>
      </w:r>
      <w:r w:rsidR="00156264" w:rsidRPr="001D2781">
        <w:rPr>
          <w:rFonts w:ascii="CenturySchoolbook" w:hAnsi="CenturySchoolbook" w:cs="CenturySchoolbook"/>
          <w:sz w:val="24"/>
          <w:szCs w:val="20"/>
        </w:rPr>
        <w:t>Kurucu veya ilgili kurum (Yönetici</w:t>
      </w:r>
      <w:r w:rsidR="001D2781">
        <w:rPr>
          <w:rFonts w:ascii="CenturySchoolbook" w:hAnsi="CenturySchoolbook" w:cs="CenturySchoolbook"/>
          <w:sz w:val="24"/>
          <w:szCs w:val="20"/>
        </w:rPr>
        <w:t xml:space="preserve"> veya dışarıdan hizmet alınan kuruluş</w:t>
      </w:r>
      <w:r w:rsidR="00156264" w:rsidRPr="001D2781">
        <w:rPr>
          <w:rFonts w:ascii="CenturySchoolbook" w:hAnsi="CenturySchoolbook" w:cs="CenturySchoolbook"/>
          <w:sz w:val="24"/>
          <w:szCs w:val="20"/>
        </w:rPr>
        <w:t>) nezdinde saklanır</w:t>
      </w:r>
      <w:r w:rsidRPr="001D2781">
        <w:rPr>
          <w:rFonts w:ascii="CenturySchoolbook" w:hAnsi="CenturySchoolbook" w:cs="CenturySchoolbook"/>
          <w:sz w:val="24"/>
          <w:szCs w:val="20"/>
        </w:rPr>
        <w:t>. Prosedürlere</w:t>
      </w:r>
      <w:r w:rsidRPr="00B41E38">
        <w:rPr>
          <w:rFonts w:ascii="CenturySchoolbook" w:hAnsi="CenturySchoolbook" w:cs="CenturySchoolbook"/>
          <w:sz w:val="24"/>
          <w:szCs w:val="20"/>
        </w:rPr>
        <w:t xml:space="preserve"> uyulmaması halinde ise bu durum gerekçesiyle birlikte üst yönetime yazılı olarak bildirilir.</w:t>
      </w:r>
    </w:p>
    <w:p w:rsidR="002D6087" w:rsidRPr="00751208" w:rsidRDefault="002D6087" w:rsidP="002D6087">
      <w:pPr>
        <w:autoSpaceDE w:val="0"/>
        <w:autoSpaceDN w:val="0"/>
        <w:adjustRightInd w:val="0"/>
        <w:spacing w:after="0" w:line="240" w:lineRule="auto"/>
        <w:jc w:val="both"/>
        <w:rPr>
          <w:rFonts w:ascii="CenturySchoolbook" w:hAnsi="CenturySchoolbook" w:cs="CenturySchoolbook"/>
          <w:sz w:val="24"/>
          <w:szCs w:val="20"/>
        </w:rPr>
      </w:pPr>
    </w:p>
    <w:p w:rsidR="002D6087" w:rsidRDefault="002D6087" w:rsidP="00F47904">
      <w:pPr>
        <w:pStyle w:val="Heading3"/>
      </w:pPr>
      <w:bookmarkStart w:id="252" w:name="_Toc130312608"/>
      <w:bookmarkStart w:id="253" w:name="_Toc130312741"/>
      <w:r w:rsidRPr="00F47904">
        <w:t>7.6.</w:t>
      </w:r>
      <w:r w:rsidR="00F47904" w:rsidRPr="00F47904">
        <w:t>6</w:t>
      </w:r>
      <w:r w:rsidRPr="00F47904">
        <w:t>. RMD Modeline İlişkin Belge ve Kayıt Düzeni</w:t>
      </w:r>
      <w:bookmarkEnd w:id="252"/>
      <w:bookmarkEnd w:id="253"/>
    </w:p>
    <w:p w:rsidR="00771CFD" w:rsidRPr="00771CFD" w:rsidRDefault="00771CFD" w:rsidP="00771CFD"/>
    <w:p w:rsidR="002D6087" w:rsidRDefault="002D6087" w:rsidP="00217A85">
      <w:pPr>
        <w:autoSpaceDE w:val="0"/>
        <w:autoSpaceDN w:val="0"/>
        <w:adjustRightInd w:val="0"/>
        <w:spacing w:after="0" w:line="240" w:lineRule="auto"/>
        <w:ind w:firstLine="708"/>
        <w:jc w:val="both"/>
        <w:rPr>
          <w:rFonts w:ascii="CenturySchoolbook" w:hAnsi="CenturySchoolbook" w:cs="CenturySchoolbook"/>
          <w:sz w:val="24"/>
          <w:szCs w:val="20"/>
        </w:rPr>
      </w:pPr>
      <w:r w:rsidRPr="006A1B34">
        <w:rPr>
          <w:rFonts w:ascii="CenturySchoolbook" w:hAnsi="CenturySchoolbook" w:cs="CenturySchoolbook"/>
          <w:sz w:val="24"/>
          <w:szCs w:val="20"/>
        </w:rPr>
        <w:t>RMD modeli</w:t>
      </w:r>
      <w:r>
        <w:rPr>
          <w:rFonts w:ascii="CenturySchoolbook" w:hAnsi="CenturySchoolbook" w:cs="CenturySchoolbook"/>
          <w:sz w:val="24"/>
          <w:szCs w:val="20"/>
        </w:rPr>
        <w:t xml:space="preserve"> ile modelin içerdiği süreç ve tekniklere ilişkin belge ve kayıt düzeninde, asgari olarak; </w:t>
      </w:r>
    </w:p>
    <w:p w:rsidR="002D6087" w:rsidRDefault="002D6087" w:rsidP="002D6087">
      <w:pPr>
        <w:autoSpaceDE w:val="0"/>
        <w:autoSpaceDN w:val="0"/>
        <w:adjustRightInd w:val="0"/>
        <w:spacing w:after="0" w:line="240" w:lineRule="auto"/>
        <w:rPr>
          <w:rFonts w:ascii="CenturySchoolbook" w:hAnsi="CenturySchoolbook" w:cs="CenturySchoolbook"/>
          <w:sz w:val="24"/>
          <w:szCs w:val="20"/>
        </w:rPr>
      </w:pPr>
    </w:p>
    <w:p w:rsidR="002D6087" w:rsidRDefault="002D6087" w:rsidP="0006161B">
      <w:pPr>
        <w:pStyle w:val="ListParagraph"/>
        <w:numPr>
          <w:ilvl w:val="0"/>
          <w:numId w:val="36"/>
        </w:numPr>
        <w:autoSpaceDE w:val="0"/>
        <w:autoSpaceDN w:val="0"/>
        <w:adjustRightInd w:val="0"/>
        <w:spacing w:after="0" w:line="240" w:lineRule="auto"/>
        <w:ind w:left="851"/>
        <w:jc w:val="both"/>
        <w:rPr>
          <w:rFonts w:ascii="CenturySchoolbook" w:hAnsi="CenturySchoolbook" w:cs="CenturySchoolbook"/>
          <w:sz w:val="24"/>
          <w:szCs w:val="20"/>
        </w:rPr>
      </w:pPr>
      <w:r>
        <w:rPr>
          <w:rFonts w:ascii="CenturySchoolbook" w:hAnsi="CenturySchoolbook" w:cs="CenturySchoolbook"/>
          <w:sz w:val="24"/>
          <w:szCs w:val="20"/>
        </w:rPr>
        <w:t>Modelin ölçtüğü riskler,</w:t>
      </w:r>
    </w:p>
    <w:p w:rsidR="002D6087" w:rsidRDefault="002D6087" w:rsidP="0006161B">
      <w:pPr>
        <w:pStyle w:val="ListParagraph"/>
        <w:numPr>
          <w:ilvl w:val="0"/>
          <w:numId w:val="36"/>
        </w:numPr>
        <w:autoSpaceDE w:val="0"/>
        <w:autoSpaceDN w:val="0"/>
        <w:adjustRightInd w:val="0"/>
        <w:spacing w:after="0" w:line="240" w:lineRule="auto"/>
        <w:ind w:left="851"/>
        <w:jc w:val="both"/>
        <w:rPr>
          <w:rFonts w:ascii="CenturySchoolbook" w:hAnsi="CenturySchoolbook" w:cs="CenturySchoolbook"/>
          <w:sz w:val="24"/>
          <w:szCs w:val="20"/>
        </w:rPr>
      </w:pPr>
      <w:r>
        <w:rPr>
          <w:rFonts w:ascii="CenturySchoolbook" w:hAnsi="CenturySchoolbook" w:cs="CenturySchoolbook"/>
          <w:sz w:val="24"/>
          <w:szCs w:val="20"/>
        </w:rPr>
        <w:t>Modelin metodolojisi,</w:t>
      </w:r>
    </w:p>
    <w:p w:rsidR="002D6087" w:rsidRDefault="002D6087" w:rsidP="0006161B">
      <w:pPr>
        <w:pStyle w:val="ListParagraph"/>
        <w:numPr>
          <w:ilvl w:val="0"/>
          <w:numId w:val="36"/>
        </w:numPr>
        <w:autoSpaceDE w:val="0"/>
        <w:autoSpaceDN w:val="0"/>
        <w:adjustRightInd w:val="0"/>
        <w:spacing w:after="0" w:line="240" w:lineRule="auto"/>
        <w:ind w:left="851"/>
        <w:jc w:val="both"/>
        <w:rPr>
          <w:rFonts w:ascii="CenturySchoolbook" w:hAnsi="CenturySchoolbook" w:cs="CenturySchoolbook"/>
          <w:sz w:val="24"/>
          <w:szCs w:val="20"/>
        </w:rPr>
      </w:pPr>
      <w:r>
        <w:rPr>
          <w:rFonts w:ascii="CenturySchoolbook" w:hAnsi="CenturySchoolbook" w:cs="CenturySchoolbook"/>
          <w:sz w:val="24"/>
          <w:szCs w:val="20"/>
        </w:rPr>
        <w:t>Matematiksel varsayımlar ve dayanaklar,</w:t>
      </w:r>
    </w:p>
    <w:p w:rsidR="002D6087" w:rsidRDefault="002D6087" w:rsidP="0006161B">
      <w:pPr>
        <w:pStyle w:val="ListParagraph"/>
        <w:numPr>
          <w:ilvl w:val="0"/>
          <w:numId w:val="36"/>
        </w:numPr>
        <w:autoSpaceDE w:val="0"/>
        <w:autoSpaceDN w:val="0"/>
        <w:adjustRightInd w:val="0"/>
        <w:spacing w:after="0" w:line="240" w:lineRule="auto"/>
        <w:ind w:left="851"/>
        <w:jc w:val="both"/>
        <w:rPr>
          <w:rFonts w:ascii="CenturySchoolbook" w:hAnsi="CenturySchoolbook" w:cs="CenturySchoolbook"/>
          <w:sz w:val="24"/>
          <w:szCs w:val="20"/>
        </w:rPr>
      </w:pPr>
      <w:r>
        <w:rPr>
          <w:rFonts w:ascii="CenturySchoolbook" w:hAnsi="CenturySchoolbook" w:cs="CenturySchoolbook"/>
          <w:sz w:val="24"/>
          <w:szCs w:val="20"/>
        </w:rPr>
        <w:t>Kullanılan veriler,</w:t>
      </w:r>
    </w:p>
    <w:p w:rsidR="002D6087" w:rsidRDefault="002D6087" w:rsidP="0006161B">
      <w:pPr>
        <w:pStyle w:val="ListParagraph"/>
        <w:numPr>
          <w:ilvl w:val="0"/>
          <w:numId w:val="36"/>
        </w:numPr>
        <w:autoSpaceDE w:val="0"/>
        <w:autoSpaceDN w:val="0"/>
        <w:adjustRightInd w:val="0"/>
        <w:spacing w:after="0" w:line="240" w:lineRule="auto"/>
        <w:ind w:left="851"/>
        <w:jc w:val="both"/>
        <w:rPr>
          <w:rFonts w:ascii="CenturySchoolbook" w:hAnsi="CenturySchoolbook" w:cs="CenturySchoolbook"/>
          <w:sz w:val="24"/>
          <w:szCs w:val="20"/>
        </w:rPr>
      </w:pPr>
      <w:r>
        <w:rPr>
          <w:rFonts w:ascii="CenturySchoolbook" w:hAnsi="CenturySchoolbook" w:cs="CenturySchoolbook"/>
          <w:sz w:val="24"/>
          <w:szCs w:val="20"/>
        </w:rPr>
        <w:t>R</w:t>
      </w:r>
      <w:r w:rsidRPr="009F6CEF">
        <w:rPr>
          <w:rFonts w:ascii="CenturySchoolbook" w:hAnsi="CenturySchoolbook" w:cs="CenturySchoolbook"/>
          <w:sz w:val="24"/>
          <w:szCs w:val="20"/>
        </w:rPr>
        <w:t>isklerin tam ve doğru olarak belirlenmesine ilişkin esaslar</w:t>
      </w:r>
      <w:r>
        <w:rPr>
          <w:rFonts w:ascii="CenturySchoolbook" w:hAnsi="CenturySchoolbook" w:cs="CenturySchoolbook"/>
          <w:sz w:val="24"/>
          <w:szCs w:val="20"/>
        </w:rPr>
        <w:t>,</w:t>
      </w:r>
    </w:p>
    <w:p w:rsidR="002D6087" w:rsidRDefault="002D6087" w:rsidP="0006161B">
      <w:pPr>
        <w:pStyle w:val="ListParagraph"/>
        <w:numPr>
          <w:ilvl w:val="0"/>
          <w:numId w:val="36"/>
        </w:numPr>
        <w:autoSpaceDE w:val="0"/>
        <w:autoSpaceDN w:val="0"/>
        <w:adjustRightInd w:val="0"/>
        <w:spacing w:after="0" w:line="240" w:lineRule="auto"/>
        <w:ind w:left="851"/>
        <w:jc w:val="both"/>
        <w:rPr>
          <w:rFonts w:ascii="CenturySchoolbook" w:hAnsi="CenturySchoolbook" w:cs="CenturySchoolbook"/>
          <w:sz w:val="24"/>
          <w:szCs w:val="20"/>
        </w:rPr>
      </w:pPr>
      <w:r>
        <w:rPr>
          <w:rFonts w:ascii="CenturySchoolbook" w:hAnsi="CenturySchoolbook" w:cs="CenturySchoolbook"/>
          <w:sz w:val="24"/>
          <w:szCs w:val="20"/>
        </w:rPr>
        <w:t>Modelin doğrulanması için kullanılan yöntemler,</w:t>
      </w:r>
    </w:p>
    <w:p w:rsidR="002D6087" w:rsidRDefault="002D6087" w:rsidP="0006161B">
      <w:pPr>
        <w:pStyle w:val="ListParagraph"/>
        <w:numPr>
          <w:ilvl w:val="0"/>
          <w:numId w:val="36"/>
        </w:numPr>
        <w:autoSpaceDE w:val="0"/>
        <w:autoSpaceDN w:val="0"/>
        <w:adjustRightInd w:val="0"/>
        <w:spacing w:after="0" w:line="240" w:lineRule="auto"/>
        <w:ind w:left="851"/>
        <w:jc w:val="both"/>
        <w:rPr>
          <w:rFonts w:ascii="CenturySchoolbook" w:hAnsi="CenturySchoolbook" w:cs="CenturySchoolbook"/>
          <w:sz w:val="24"/>
          <w:szCs w:val="20"/>
        </w:rPr>
      </w:pPr>
      <w:r>
        <w:rPr>
          <w:rFonts w:ascii="CenturySchoolbook" w:hAnsi="CenturySchoolbook" w:cs="CenturySchoolbook"/>
          <w:sz w:val="24"/>
          <w:szCs w:val="20"/>
        </w:rPr>
        <w:t>Geriye dönük test süreci,</w:t>
      </w:r>
    </w:p>
    <w:p w:rsidR="002D6087" w:rsidRDefault="002D6087" w:rsidP="0006161B">
      <w:pPr>
        <w:pStyle w:val="ListParagraph"/>
        <w:numPr>
          <w:ilvl w:val="0"/>
          <w:numId w:val="36"/>
        </w:numPr>
        <w:autoSpaceDE w:val="0"/>
        <w:autoSpaceDN w:val="0"/>
        <w:adjustRightInd w:val="0"/>
        <w:spacing w:after="0" w:line="240" w:lineRule="auto"/>
        <w:ind w:left="851"/>
        <w:jc w:val="both"/>
        <w:rPr>
          <w:rFonts w:ascii="CenturySchoolbook" w:hAnsi="CenturySchoolbook" w:cs="CenturySchoolbook"/>
          <w:sz w:val="24"/>
          <w:szCs w:val="20"/>
        </w:rPr>
      </w:pPr>
      <w:r>
        <w:rPr>
          <w:rFonts w:ascii="CenturySchoolbook" w:hAnsi="CenturySchoolbook" w:cs="CenturySchoolbook"/>
          <w:sz w:val="24"/>
          <w:szCs w:val="20"/>
        </w:rPr>
        <w:t>Stres testi süreci,</w:t>
      </w:r>
    </w:p>
    <w:p w:rsidR="002D6087" w:rsidRDefault="002D6087" w:rsidP="0006161B">
      <w:pPr>
        <w:pStyle w:val="ListParagraph"/>
        <w:numPr>
          <w:ilvl w:val="0"/>
          <w:numId w:val="36"/>
        </w:numPr>
        <w:autoSpaceDE w:val="0"/>
        <w:autoSpaceDN w:val="0"/>
        <w:adjustRightInd w:val="0"/>
        <w:spacing w:after="0" w:line="240" w:lineRule="auto"/>
        <w:ind w:left="851"/>
        <w:jc w:val="both"/>
        <w:rPr>
          <w:rFonts w:ascii="CenturySchoolbook" w:hAnsi="CenturySchoolbook" w:cs="CenturySchoolbook"/>
          <w:sz w:val="24"/>
          <w:szCs w:val="20"/>
        </w:rPr>
      </w:pPr>
      <w:r w:rsidRPr="0009582C">
        <w:rPr>
          <w:rFonts w:ascii="CenturySchoolbook" w:hAnsi="CenturySchoolbook" w:cs="CenturySchoolbook"/>
          <w:sz w:val="24"/>
          <w:szCs w:val="20"/>
        </w:rPr>
        <w:t>Modelin geçerli</w:t>
      </w:r>
      <w:r>
        <w:rPr>
          <w:rFonts w:ascii="CenturySchoolbook" w:hAnsi="CenturySchoolbook" w:cs="CenturySchoolbook"/>
          <w:sz w:val="24"/>
          <w:szCs w:val="20"/>
        </w:rPr>
        <w:t>lik aralığı,</w:t>
      </w:r>
    </w:p>
    <w:p w:rsidR="002D6087" w:rsidRDefault="002D6087" w:rsidP="0006161B">
      <w:pPr>
        <w:pStyle w:val="ListParagraph"/>
        <w:numPr>
          <w:ilvl w:val="0"/>
          <w:numId w:val="36"/>
        </w:numPr>
        <w:autoSpaceDE w:val="0"/>
        <w:autoSpaceDN w:val="0"/>
        <w:adjustRightInd w:val="0"/>
        <w:spacing w:after="0" w:line="240" w:lineRule="auto"/>
        <w:ind w:left="851"/>
        <w:jc w:val="both"/>
        <w:rPr>
          <w:rFonts w:ascii="CenturySchoolbook" w:hAnsi="CenturySchoolbook" w:cs="CenturySchoolbook"/>
          <w:sz w:val="24"/>
          <w:szCs w:val="20"/>
        </w:rPr>
      </w:pPr>
      <w:r>
        <w:rPr>
          <w:rFonts w:ascii="CenturySchoolbook" w:hAnsi="CenturySchoolbook" w:cs="CenturySchoolbook"/>
          <w:sz w:val="24"/>
          <w:szCs w:val="20"/>
        </w:rPr>
        <w:t>Modelin operasyonel uygulama süreci</w:t>
      </w:r>
    </w:p>
    <w:p w:rsidR="002D6087" w:rsidRDefault="002D6087" w:rsidP="002D6087">
      <w:pPr>
        <w:autoSpaceDE w:val="0"/>
        <w:autoSpaceDN w:val="0"/>
        <w:adjustRightInd w:val="0"/>
        <w:spacing w:after="0" w:line="240" w:lineRule="auto"/>
        <w:jc w:val="both"/>
        <w:rPr>
          <w:rFonts w:ascii="CenturySchoolbook" w:hAnsi="CenturySchoolbook" w:cs="CenturySchoolbook"/>
          <w:sz w:val="24"/>
          <w:szCs w:val="20"/>
        </w:rPr>
      </w:pPr>
    </w:p>
    <w:p w:rsidR="002D6087" w:rsidRPr="00CF004B" w:rsidRDefault="002D6087" w:rsidP="00217A85">
      <w:pPr>
        <w:autoSpaceDE w:val="0"/>
        <w:autoSpaceDN w:val="0"/>
        <w:adjustRightInd w:val="0"/>
        <w:spacing w:after="0" w:line="240" w:lineRule="auto"/>
        <w:ind w:firstLine="491"/>
        <w:jc w:val="both"/>
        <w:rPr>
          <w:rFonts w:ascii="CenturySchoolbook" w:hAnsi="CenturySchoolbook" w:cs="CenturySchoolbook"/>
          <w:sz w:val="24"/>
          <w:szCs w:val="20"/>
        </w:rPr>
      </w:pPr>
      <w:r>
        <w:rPr>
          <w:rFonts w:ascii="CenturySchoolbook" w:hAnsi="CenturySchoolbook" w:cs="CenturySchoolbook"/>
          <w:sz w:val="24"/>
          <w:szCs w:val="20"/>
        </w:rPr>
        <w:t>yer almalıdır.</w:t>
      </w:r>
    </w:p>
    <w:p w:rsidR="002D6087" w:rsidRPr="006A1B34" w:rsidRDefault="002D6087" w:rsidP="002D6087">
      <w:pPr>
        <w:autoSpaceDE w:val="0"/>
        <w:autoSpaceDN w:val="0"/>
        <w:adjustRightInd w:val="0"/>
        <w:spacing w:after="0" w:line="240" w:lineRule="auto"/>
        <w:rPr>
          <w:rFonts w:ascii="CenturySchoolbook" w:hAnsi="CenturySchoolbook" w:cs="CenturySchoolbook"/>
          <w:sz w:val="24"/>
          <w:szCs w:val="20"/>
        </w:rPr>
      </w:pPr>
    </w:p>
    <w:p w:rsidR="002D6087" w:rsidRPr="00F47904" w:rsidRDefault="002D6087" w:rsidP="00F47904">
      <w:pPr>
        <w:pStyle w:val="Heading3"/>
        <w:rPr>
          <w:rFonts w:ascii="CenturySchoolbook" w:hAnsi="CenturySchoolbook" w:cs="CenturySchoolbook"/>
          <w:sz w:val="26"/>
          <w:szCs w:val="20"/>
        </w:rPr>
      </w:pPr>
      <w:bookmarkStart w:id="254" w:name="_Toc130312609"/>
      <w:bookmarkStart w:id="255" w:name="_Toc130312742"/>
      <w:r w:rsidRPr="00F47904">
        <w:t>7.6.</w:t>
      </w:r>
      <w:r w:rsidR="00F47904" w:rsidRPr="00F47904">
        <w:t>7</w:t>
      </w:r>
      <w:r w:rsidRPr="00F47904">
        <w:t>. İlave Tedbirler</w:t>
      </w:r>
      <w:bookmarkEnd w:id="254"/>
      <w:bookmarkEnd w:id="255"/>
    </w:p>
    <w:p w:rsidR="002D6087" w:rsidRDefault="002D6087" w:rsidP="002D6087">
      <w:pPr>
        <w:autoSpaceDE w:val="0"/>
        <w:autoSpaceDN w:val="0"/>
        <w:adjustRightInd w:val="0"/>
        <w:spacing w:after="0" w:line="240" w:lineRule="auto"/>
        <w:rPr>
          <w:rFonts w:ascii="CenturySchoolbook" w:hAnsi="CenturySchoolbook" w:cs="CenturySchoolbook"/>
          <w:sz w:val="20"/>
          <w:szCs w:val="20"/>
        </w:rPr>
      </w:pPr>
    </w:p>
    <w:p w:rsidR="002D6087" w:rsidRDefault="002D6087" w:rsidP="00254D76">
      <w:pPr>
        <w:autoSpaceDE w:val="0"/>
        <w:autoSpaceDN w:val="0"/>
        <w:adjustRightInd w:val="0"/>
        <w:spacing w:after="0" w:line="240" w:lineRule="auto"/>
        <w:ind w:firstLine="708"/>
        <w:jc w:val="both"/>
        <w:rPr>
          <w:rFonts w:ascii="CenturySchoolbook" w:hAnsi="CenturySchoolbook" w:cs="CenturySchoolbook"/>
          <w:sz w:val="24"/>
          <w:szCs w:val="20"/>
        </w:rPr>
      </w:pPr>
      <w:r>
        <w:rPr>
          <w:rFonts w:ascii="CenturySchoolbook" w:hAnsi="CenturySchoolbook" w:cs="CenturySchoolbook"/>
          <w:sz w:val="24"/>
          <w:szCs w:val="20"/>
        </w:rPr>
        <w:t>Gerekli olması halinde RMD ve s</w:t>
      </w:r>
      <w:r w:rsidRPr="00BD2ED0">
        <w:rPr>
          <w:rFonts w:ascii="CenturySchoolbook" w:hAnsi="CenturySchoolbook" w:cs="CenturySchoolbook"/>
          <w:sz w:val="24"/>
          <w:szCs w:val="20"/>
        </w:rPr>
        <w:t xml:space="preserve">tres testi uygulamaları, </w:t>
      </w:r>
      <w:r>
        <w:rPr>
          <w:rFonts w:ascii="CenturySchoolbook" w:hAnsi="CenturySchoolbook" w:cs="CenturySchoolbook"/>
          <w:sz w:val="24"/>
          <w:szCs w:val="20"/>
        </w:rPr>
        <w:t xml:space="preserve">fonun </w:t>
      </w:r>
      <w:r w:rsidRPr="00BD2ED0">
        <w:rPr>
          <w:rFonts w:ascii="CenturySchoolbook" w:hAnsi="CenturySchoolbook" w:cs="CenturySchoolbook"/>
          <w:sz w:val="24"/>
          <w:szCs w:val="20"/>
        </w:rPr>
        <w:t>risk profili ve yatırım strateji</w:t>
      </w:r>
      <w:r>
        <w:rPr>
          <w:rFonts w:ascii="CenturySchoolbook" w:hAnsi="CenturySchoolbook" w:cs="CenturySchoolbook"/>
          <w:sz w:val="24"/>
          <w:szCs w:val="20"/>
        </w:rPr>
        <w:t>s</w:t>
      </w:r>
      <w:r w:rsidRPr="00BD2ED0">
        <w:rPr>
          <w:rFonts w:ascii="CenturySchoolbook" w:hAnsi="CenturySchoolbook" w:cs="CenturySchoolbook"/>
          <w:sz w:val="24"/>
          <w:szCs w:val="20"/>
        </w:rPr>
        <w:t>i ile uyumlu diğer yöntemler</w:t>
      </w:r>
      <w:r>
        <w:rPr>
          <w:rFonts w:ascii="CenturySchoolbook" w:hAnsi="CenturySchoolbook" w:cs="CenturySchoolbook"/>
          <w:sz w:val="24"/>
          <w:szCs w:val="20"/>
        </w:rPr>
        <w:t xml:space="preserve"> ve teknikler</w:t>
      </w:r>
      <w:r w:rsidRPr="00BD2ED0">
        <w:rPr>
          <w:rFonts w:ascii="CenturySchoolbook" w:hAnsi="CenturySchoolbook" w:cs="CenturySchoolbook"/>
          <w:sz w:val="24"/>
          <w:szCs w:val="20"/>
        </w:rPr>
        <w:t>le destekle</w:t>
      </w:r>
      <w:r>
        <w:rPr>
          <w:rFonts w:ascii="CenturySchoolbook" w:hAnsi="CenturySchoolbook" w:cs="CenturySchoolbook"/>
          <w:sz w:val="24"/>
          <w:szCs w:val="20"/>
        </w:rPr>
        <w:t>n</w:t>
      </w:r>
      <w:r w:rsidRPr="00BD2ED0">
        <w:rPr>
          <w:rFonts w:ascii="CenturySchoolbook" w:hAnsi="CenturySchoolbook" w:cs="CenturySchoolbook"/>
          <w:sz w:val="24"/>
          <w:szCs w:val="20"/>
        </w:rPr>
        <w:t xml:space="preserve">melidir. </w:t>
      </w:r>
    </w:p>
    <w:p w:rsidR="002D6087" w:rsidRDefault="002D6087" w:rsidP="002D6087">
      <w:pPr>
        <w:autoSpaceDE w:val="0"/>
        <w:autoSpaceDN w:val="0"/>
        <w:adjustRightInd w:val="0"/>
        <w:spacing w:after="0" w:line="240" w:lineRule="auto"/>
        <w:jc w:val="both"/>
        <w:rPr>
          <w:rFonts w:ascii="CenturySchoolbook" w:hAnsi="CenturySchoolbook" w:cs="CenturySchoolbook"/>
          <w:sz w:val="24"/>
          <w:szCs w:val="20"/>
        </w:rPr>
      </w:pPr>
    </w:p>
    <w:p w:rsidR="002D6087" w:rsidRPr="00F47904" w:rsidRDefault="002D6087" w:rsidP="00F47904">
      <w:pPr>
        <w:pStyle w:val="Heading3"/>
      </w:pPr>
      <w:bookmarkStart w:id="256" w:name="_Toc130312610"/>
      <w:bookmarkStart w:id="257" w:name="_Toc130312743"/>
      <w:r w:rsidRPr="00F47904">
        <w:rPr>
          <w:rFonts w:cs="Times New Roman"/>
        </w:rPr>
        <w:t>7.6.</w:t>
      </w:r>
      <w:r w:rsidR="00F47904" w:rsidRPr="00F47904">
        <w:rPr>
          <w:rFonts w:cs="Times New Roman"/>
        </w:rPr>
        <w:t>8</w:t>
      </w:r>
      <w:r w:rsidRPr="00F47904">
        <w:rPr>
          <w:rFonts w:cs="Times New Roman"/>
        </w:rPr>
        <w:t xml:space="preserve">. </w:t>
      </w:r>
      <w:r w:rsidRPr="00F47904">
        <w:t>Risk Yönetim Biriminin RMD Yönteminin Kullanımına İlişkin Görevleri</w:t>
      </w:r>
      <w:bookmarkEnd w:id="256"/>
      <w:bookmarkEnd w:id="257"/>
    </w:p>
    <w:p w:rsidR="00F47904" w:rsidRPr="00F47904" w:rsidRDefault="00F47904" w:rsidP="00F47904"/>
    <w:p w:rsidR="002D6087" w:rsidRDefault="002D6087" w:rsidP="00254D76">
      <w:pPr>
        <w:pStyle w:val="ListParagraph"/>
        <w:ind w:left="0" w:firstLine="567"/>
        <w:jc w:val="both"/>
        <w:rPr>
          <w:rFonts w:ascii="CenturySchoolbook" w:hAnsi="CenturySchoolbook" w:cs="CenturySchoolbook"/>
          <w:sz w:val="24"/>
          <w:szCs w:val="20"/>
        </w:rPr>
      </w:pPr>
      <w:r w:rsidRPr="006E03FF">
        <w:rPr>
          <w:rFonts w:ascii="CenturySchoolbook" w:hAnsi="CenturySchoolbook" w:cs="CenturySchoolbook"/>
          <w:sz w:val="24"/>
          <w:szCs w:val="20"/>
        </w:rPr>
        <w:t>RMD yönteminin</w:t>
      </w:r>
      <w:r>
        <w:rPr>
          <w:rFonts w:ascii="CenturySchoolbook" w:hAnsi="CenturySchoolbook" w:cs="CenturySchoolbook"/>
          <w:sz w:val="24"/>
          <w:szCs w:val="20"/>
        </w:rPr>
        <w:t xml:space="preserve"> uygulanması, risk yönetim biriminin günlük görevlerinin ayrılmaz bir parçasıdır. Bu kapsamda,  RMD yönteminin kullanılmasına ilişkin olarak r</w:t>
      </w:r>
      <w:r w:rsidRPr="006A1B34">
        <w:rPr>
          <w:rFonts w:ascii="CenturySchoolbook" w:hAnsi="CenturySchoolbook" w:cs="CenturySchoolbook"/>
          <w:sz w:val="24"/>
          <w:szCs w:val="20"/>
        </w:rPr>
        <w:t>isk yönetim birimi</w:t>
      </w:r>
      <w:r>
        <w:rPr>
          <w:rFonts w:ascii="CenturySchoolbook" w:hAnsi="CenturySchoolbook" w:cs="CenturySchoolbook"/>
          <w:sz w:val="24"/>
          <w:szCs w:val="20"/>
        </w:rPr>
        <w:t xml:space="preserve">nin görevleri aşağıdaki gibidir: </w:t>
      </w:r>
    </w:p>
    <w:p w:rsidR="002D6087" w:rsidRDefault="002D6087" w:rsidP="002D6087">
      <w:pPr>
        <w:autoSpaceDE w:val="0"/>
        <w:autoSpaceDN w:val="0"/>
        <w:adjustRightInd w:val="0"/>
        <w:spacing w:after="0" w:line="240" w:lineRule="auto"/>
        <w:ind w:left="567"/>
        <w:rPr>
          <w:rFonts w:ascii="CenturySchoolbook" w:hAnsi="CenturySchoolbook" w:cs="CenturySchoolbook"/>
          <w:sz w:val="24"/>
          <w:szCs w:val="20"/>
        </w:rPr>
      </w:pPr>
      <w:r>
        <w:rPr>
          <w:rFonts w:ascii="CenturySchoolbook" w:hAnsi="CenturySchoolbook" w:cs="CenturySchoolbook"/>
          <w:sz w:val="24"/>
          <w:szCs w:val="20"/>
        </w:rPr>
        <w:t>a) Günlük olarak; RMD modelin uygulanması ve kontrolü,</w:t>
      </w:r>
    </w:p>
    <w:p w:rsidR="002D6087" w:rsidRDefault="002D6087" w:rsidP="002D6087">
      <w:pPr>
        <w:autoSpaceDE w:val="0"/>
        <w:autoSpaceDN w:val="0"/>
        <w:adjustRightInd w:val="0"/>
        <w:spacing w:after="0" w:line="240" w:lineRule="auto"/>
        <w:ind w:firstLine="567"/>
        <w:rPr>
          <w:rFonts w:ascii="CenturySchoolbook" w:hAnsi="CenturySchoolbook" w:cs="CenturySchoolbook"/>
          <w:sz w:val="24"/>
          <w:szCs w:val="20"/>
        </w:rPr>
      </w:pPr>
      <w:r>
        <w:rPr>
          <w:rFonts w:ascii="CenturySchoolbook" w:hAnsi="CenturySchoolbook" w:cs="CenturySchoolbook"/>
          <w:sz w:val="24"/>
          <w:szCs w:val="20"/>
        </w:rPr>
        <w:t xml:space="preserve">b) Göreli RMD yönteminin kullanılması halinde referans portföyün belirlenmesi, </w:t>
      </w:r>
    </w:p>
    <w:p w:rsidR="002D6087" w:rsidRDefault="002D6087" w:rsidP="00062D6F">
      <w:pPr>
        <w:autoSpaceDE w:val="0"/>
        <w:autoSpaceDN w:val="0"/>
        <w:adjustRightInd w:val="0"/>
        <w:spacing w:after="0" w:line="240" w:lineRule="auto"/>
        <w:ind w:firstLine="567"/>
        <w:rPr>
          <w:rFonts w:ascii="CenturySchoolbook" w:hAnsi="CenturySchoolbook" w:cs="CenturySchoolbook"/>
          <w:sz w:val="24"/>
          <w:szCs w:val="20"/>
        </w:rPr>
      </w:pPr>
      <w:r>
        <w:rPr>
          <w:rFonts w:ascii="CenturySchoolbook" w:hAnsi="CenturySchoolbook" w:cs="CenturySchoolbook"/>
          <w:sz w:val="24"/>
          <w:szCs w:val="20"/>
        </w:rPr>
        <w:t xml:space="preserve">c) Modelin fon portföyü ile uyumunun devamlı şekilde sağlanması, </w:t>
      </w:r>
    </w:p>
    <w:p w:rsidR="002D6087" w:rsidRDefault="002D6087" w:rsidP="002D6087">
      <w:pPr>
        <w:autoSpaceDE w:val="0"/>
        <w:autoSpaceDN w:val="0"/>
        <w:adjustRightInd w:val="0"/>
        <w:spacing w:after="0" w:line="240" w:lineRule="auto"/>
        <w:ind w:left="567"/>
        <w:rPr>
          <w:rFonts w:ascii="CenturySchoolbook" w:hAnsi="CenturySchoolbook" w:cs="CenturySchoolbook"/>
          <w:sz w:val="24"/>
          <w:szCs w:val="20"/>
        </w:rPr>
      </w:pPr>
      <w:r>
        <w:rPr>
          <w:rFonts w:ascii="CenturySchoolbook" w:hAnsi="CenturySchoolbook" w:cs="CenturySchoolbook"/>
          <w:sz w:val="24"/>
          <w:szCs w:val="20"/>
        </w:rPr>
        <w:t>d) Modelin geçerliliğinin devamlı şekilde takibi,</w:t>
      </w:r>
    </w:p>
    <w:p w:rsidR="002D6087" w:rsidRDefault="002D6087" w:rsidP="002D6087">
      <w:pPr>
        <w:autoSpaceDE w:val="0"/>
        <w:autoSpaceDN w:val="0"/>
        <w:adjustRightInd w:val="0"/>
        <w:spacing w:after="0" w:line="240" w:lineRule="auto"/>
        <w:ind w:left="851" w:hanging="284"/>
        <w:rPr>
          <w:rFonts w:ascii="CenturySchoolbook" w:hAnsi="CenturySchoolbook" w:cs="CenturySchoolbook"/>
          <w:sz w:val="24"/>
          <w:szCs w:val="20"/>
        </w:rPr>
      </w:pPr>
      <w:r>
        <w:rPr>
          <w:rFonts w:ascii="CenturySchoolbook" w:hAnsi="CenturySchoolbook" w:cs="CenturySchoolbook"/>
          <w:sz w:val="24"/>
          <w:szCs w:val="20"/>
        </w:rPr>
        <w:t>e) Her fon için, üst yönetimin onayına tabi olmak üzere, fonun risk profili ile uyumlu RMD limitlerinin belirlenmesi,</w:t>
      </w:r>
    </w:p>
    <w:p w:rsidR="002D6087" w:rsidRDefault="002D6087" w:rsidP="002D6087">
      <w:pPr>
        <w:autoSpaceDE w:val="0"/>
        <w:autoSpaceDN w:val="0"/>
        <w:adjustRightInd w:val="0"/>
        <w:spacing w:after="0" w:line="240" w:lineRule="auto"/>
        <w:ind w:left="567"/>
        <w:rPr>
          <w:rFonts w:ascii="CenturySchoolbook" w:hAnsi="CenturySchoolbook" w:cs="CenturySchoolbook"/>
          <w:sz w:val="24"/>
          <w:szCs w:val="20"/>
        </w:rPr>
      </w:pPr>
      <w:r>
        <w:rPr>
          <w:rFonts w:ascii="CenturySchoolbook" w:hAnsi="CenturySchoolbook" w:cs="CenturySchoolbook"/>
          <w:sz w:val="24"/>
          <w:szCs w:val="20"/>
        </w:rPr>
        <w:t>f) RMD limitlerinin uygulanması, izlenmesi ve kontrolü,</w:t>
      </w:r>
    </w:p>
    <w:p w:rsidR="002D6087" w:rsidRDefault="002D6087" w:rsidP="002D6087">
      <w:pPr>
        <w:autoSpaceDE w:val="0"/>
        <w:autoSpaceDN w:val="0"/>
        <w:adjustRightInd w:val="0"/>
        <w:spacing w:after="0" w:line="240" w:lineRule="auto"/>
        <w:ind w:firstLine="567"/>
        <w:rPr>
          <w:rFonts w:ascii="CenturySchoolbook" w:hAnsi="CenturySchoolbook" w:cs="CenturySchoolbook"/>
          <w:sz w:val="24"/>
          <w:szCs w:val="20"/>
        </w:rPr>
      </w:pPr>
      <w:r>
        <w:rPr>
          <w:rFonts w:ascii="CenturySchoolbook" w:hAnsi="CenturySchoolbook" w:cs="CenturySchoolbook"/>
          <w:sz w:val="24"/>
          <w:szCs w:val="20"/>
        </w:rPr>
        <w:t>g) Fona ilişkin kaldıracın düzenli olarak izlenmesi,</w:t>
      </w:r>
    </w:p>
    <w:p w:rsidR="002D6087" w:rsidRDefault="002D6087" w:rsidP="005C1806">
      <w:pPr>
        <w:autoSpaceDE w:val="0"/>
        <w:autoSpaceDN w:val="0"/>
        <w:adjustRightInd w:val="0"/>
        <w:spacing w:after="0" w:line="240" w:lineRule="auto"/>
        <w:ind w:left="851" w:hanging="284"/>
        <w:jc w:val="both"/>
        <w:rPr>
          <w:rFonts w:ascii="CenturySchoolbook" w:hAnsi="CenturySchoolbook" w:cs="CenturySchoolbook"/>
          <w:sz w:val="24"/>
          <w:szCs w:val="20"/>
        </w:rPr>
      </w:pPr>
      <w:r>
        <w:rPr>
          <w:rFonts w:ascii="CenturySchoolbook" w:hAnsi="CenturySchoolbook" w:cs="CenturySchoolbook"/>
          <w:sz w:val="24"/>
          <w:szCs w:val="20"/>
        </w:rPr>
        <w:t>h) Geriye dönük test ve stres testi sonuçları dahil olmak üzere RMD ölçümlerinin üst yönetime düzenli şekilde raporlanması.</w:t>
      </w:r>
    </w:p>
    <w:p w:rsidR="002D6087" w:rsidRDefault="002D6087" w:rsidP="002D6087">
      <w:pPr>
        <w:autoSpaceDE w:val="0"/>
        <w:autoSpaceDN w:val="0"/>
        <w:adjustRightInd w:val="0"/>
        <w:spacing w:after="0" w:line="240" w:lineRule="auto"/>
        <w:ind w:left="851" w:hanging="284"/>
        <w:rPr>
          <w:rFonts w:ascii="CenturySchoolbook" w:hAnsi="CenturySchoolbook" w:cs="CenturySchoolbook"/>
          <w:sz w:val="24"/>
          <w:szCs w:val="20"/>
        </w:rPr>
      </w:pPr>
    </w:p>
    <w:p w:rsidR="002D6087" w:rsidRPr="00AE5F35" w:rsidRDefault="002D6087" w:rsidP="00AE5F35">
      <w:pPr>
        <w:pStyle w:val="Heading2"/>
      </w:pPr>
      <w:bookmarkStart w:id="258" w:name="_Toc130312611"/>
      <w:bookmarkStart w:id="259" w:name="_Toc130312744"/>
      <w:r w:rsidRPr="00AE5F35">
        <w:t>7.</w:t>
      </w:r>
      <w:r w:rsidR="00AE5F35" w:rsidRPr="00AE5F35">
        <w:t>7</w:t>
      </w:r>
      <w:r w:rsidRPr="00AE5F35">
        <w:t>. Kamuyu Aydınlatma Esasları</w:t>
      </w:r>
      <w:bookmarkEnd w:id="258"/>
      <w:bookmarkEnd w:id="259"/>
    </w:p>
    <w:p w:rsidR="00CC793A" w:rsidRDefault="00CC793A" w:rsidP="002D6087">
      <w:pPr>
        <w:pStyle w:val="ListParagraph"/>
        <w:ind w:left="0"/>
        <w:jc w:val="both"/>
        <w:rPr>
          <w:rFonts w:ascii="Times New Roman" w:hAnsi="Times New Roman" w:cs="Times New Roman"/>
          <w:sz w:val="24"/>
          <w:szCs w:val="24"/>
        </w:rPr>
      </w:pPr>
    </w:p>
    <w:p w:rsidR="002D6087" w:rsidRDefault="00AB6185" w:rsidP="00AB6185">
      <w:pPr>
        <w:pStyle w:val="ListParagraph"/>
        <w:ind w:left="0"/>
        <w:jc w:val="both"/>
        <w:rPr>
          <w:rFonts w:ascii="Times New Roman" w:hAnsi="Times New Roman" w:cs="Times New Roman"/>
          <w:sz w:val="24"/>
          <w:szCs w:val="24"/>
        </w:rPr>
      </w:pPr>
      <w:r w:rsidRPr="00AB6185">
        <w:rPr>
          <w:rFonts w:ascii="Times New Roman" w:hAnsi="Times New Roman" w:cs="Times New Roman"/>
          <w:sz w:val="24"/>
          <w:szCs w:val="24"/>
        </w:rPr>
        <w:tab/>
        <w:t>a</w:t>
      </w:r>
      <w:r>
        <w:rPr>
          <w:rFonts w:ascii="Times New Roman" w:hAnsi="Times New Roman" w:cs="Times New Roman"/>
          <w:sz w:val="24"/>
          <w:szCs w:val="24"/>
        </w:rPr>
        <w:t xml:space="preserve">) </w:t>
      </w:r>
      <w:r w:rsidR="005C1806">
        <w:rPr>
          <w:rFonts w:ascii="Times New Roman" w:hAnsi="Times New Roman" w:cs="Times New Roman"/>
          <w:sz w:val="24"/>
          <w:szCs w:val="24"/>
        </w:rPr>
        <w:t xml:space="preserve">Bu </w:t>
      </w:r>
      <w:r w:rsidR="009E6810">
        <w:rPr>
          <w:rFonts w:ascii="Times New Roman" w:hAnsi="Times New Roman" w:cs="Times New Roman"/>
          <w:sz w:val="24"/>
          <w:szCs w:val="24"/>
        </w:rPr>
        <w:t>Rehber’in (7.5.) no</w:t>
      </w:r>
      <w:r w:rsidR="00CC793A">
        <w:rPr>
          <w:rFonts w:ascii="Times New Roman" w:hAnsi="Times New Roman" w:cs="Times New Roman"/>
          <w:sz w:val="24"/>
          <w:szCs w:val="24"/>
        </w:rPr>
        <w:t xml:space="preserve">lu bölümünün (b) bendi kapsamında RMD yöntemini kullanması zorunlu </w:t>
      </w:r>
      <w:r w:rsidR="009F00F3">
        <w:rPr>
          <w:rFonts w:ascii="Times New Roman" w:hAnsi="Times New Roman" w:cs="Times New Roman"/>
          <w:sz w:val="24"/>
          <w:szCs w:val="24"/>
        </w:rPr>
        <w:t>olan</w:t>
      </w:r>
      <w:r w:rsidR="00026FE4">
        <w:rPr>
          <w:rFonts w:ascii="Times New Roman" w:hAnsi="Times New Roman" w:cs="Times New Roman"/>
          <w:sz w:val="24"/>
          <w:szCs w:val="24"/>
        </w:rPr>
        <w:t xml:space="preserve"> </w:t>
      </w:r>
      <w:r w:rsidR="00CC793A">
        <w:rPr>
          <w:rFonts w:ascii="Times New Roman" w:hAnsi="Times New Roman" w:cs="Times New Roman"/>
          <w:sz w:val="24"/>
          <w:szCs w:val="24"/>
        </w:rPr>
        <w:t xml:space="preserve">ve kaldıraç yaratan işlemlerde bulunacak </w:t>
      </w:r>
      <w:r w:rsidR="00CC793A" w:rsidRPr="00907360">
        <w:rPr>
          <w:rFonts w:ascii="Times New Roman" w:hAnsi="Times New Roman" w:cs="Times New Roman"/>
          <w:sz w:val="24"/>
          <w:szCs w:val="24"/>
        </w:rPr>
        <w:t>fonlar tarafından</w:t>
      </w:r>
      <w:r w:rsidR="009F00F3">
        <w:rPr>
          <w:rFonts w:ascii="Times New Roman" w:hAnsi="Times New Roman" w:cs="Times New Roman"/>
          <w:sz w:val="24"/>
          <w:szCs w:val="24"/>
        </w:rPr>
        <w:t>:</w:t>
      </w:r>
    </w:p>
    <w:p w:rsidR="00485185" w:rsidRDefault="00485185" w:rsidP="00AB6185">
      <w:pPr>
        <w:pStyle w:val="ListParagraph"/>
        <w:ind w:left="0"/>
        <w:jc w:val="both"/>
        <w:rPr>
          <w:rFonts w:ascii="Times New Roman" w:hAnsi="Times New Roman" w:cs="Times New Roman"/>
          <w:sz w:val="24"/>
          <w:szCs w:val="24"/>
        </w:rPr>
      </w:pPr>
    </w:p>
    <w:p w:rsidR="002D6087" w:rsidRPr="002866EF" w:rsidRDefault="00CC793A" w:rsidP="0006161B">
      <w:pPr>
        <w:pStyle w:val="ListParagraph"/>
        <w:numPr>
          <w:ilvl w:val="0"/>
          <w:numId w:val="28"/>
        </w:numPr>
        <w:ind w:left="1418"/>
        <w:jc w:val="both"/>
        <w:rPr>
          <w:rFonts w:cs="Times New Roman"/>
          <w:szCs w:val="24"/>
        </w:rPr>
      </w:pPr>
      <w:r>
        <w:rPr>
          <w:rFonts w:ascii="Times New Roman" w:hAnsi="Times New Roman" w:cs="Times New Roman"/>
          <w:sz w:val="24"/>
          <w:szCs w:val="24"/>
        </w:rPr>
        <w:t>K</w:t>
      </w:r>
      <w:r w:rsidR="002D6087" w:rsidRPr="00907360">
        <w:rPr>
          <w:rFonts w:ascii="Times New Roman" w:hAnsi="Times New Roman" w:cs="Times New Roman"/>
          <w:sz w:val="24"/>
          <w:szCs w:val="24"/>
        </w:rPr>
        <w:t>aldıraç yaratan işlemlerden kaynaklanan risklerin ölçümünde kullanılacak yönteme</w:t>
      </w:r>
      <w:r w:rsidR="009D6CE6">
        <w:rPr>
          <w:rFonts w:ascii="Times New Roman" w:hAnsi="Times New Roman" w:cs="Times New Roman"/>
          <w:sz w:val="24"/>
          <w:szCs w:val="24"/>
        </w:rPr>
        <w:t>,</w:t>
      </w:r>
      <w:r w:rsidR="00E548B3">
        <w:rPr>
          <w:rFonts w:ascii="Times New Roman" w:hAnsi="Times New Roman" w:cs="Times New Roman"/>
          <w:sz w:val="24"/>
          <w:szCs w:val="24"/>
        </w:rPr>
        <w:t xml:space="preserve"> h</w:t>
      </w:r>
      <w:r w:rsidR="00E548B3" w:rsidRPr="00746A81">
        <w:rPr>
          <w:rFonts w:ascii="Times New Roman" w:eastAsia="Times New Roman" w:hAnsi="Times New Roman" w:cs="Times New Roman"/>
          <w:sz w:val="24"/>
          <w:szCs w:val="24"/>
          <w:lang w:eastAsia="tr-TR"/>
        </w:rPr>
        <w:t>angi koşullarda kaldıracın kullanılacağına</w:t>
      </w:r>
      <w:r w:rsidR="00E548B3">
        <w:rPr>
          <w:rFonts w:ascii="Times New Roman" w:eastAsia="Times New Roman" w:hAnsi="Times New Roman" w:cs="Times New Roman"/>
          <w:sz w:val="24"/>
          <w:szCs w:val="24"/>
          <w:lang w:eastAsia="tr-TR"/>
        </w:rPr>
        <w:t>,</w:t>
      </w:r>
      <w:r w:rsidR="00900641">
        <w:rPr>
          <w:rFonts w:ascii="Times New Roman" w:eastAsia="Times New Roman" w:hAnsi="Times New Roman" w:cs="Times New Roman"/>
          <w:sz w:val="24"/>
          <w:szCs w:val="24"/>
          <w:lang w:eastAsia="tr-TR"/>
        </w:rPr>
        <w:t xml:space="preserve"> </w:t>
      </w:r>
      <w:r w:rsidR="009D6CE6">
        <w:rPr>
          <w:rFonts w:ascii="Times New Roman" w:hAnsi="Times New Roman" w:cs="Times New Roman"/>
          <w:sz w:val="24"/>
          <w:szCs w:val="24"/>
        </w:rPr>
        <w:t xml:space="preserve">kaldıraç yaratmaya yönelik olarak </w:t>
      </w:r>
      <w:r w:rsidR="002D6087" w:rsidRPr="00907360">
        <w:rPr>
          <w:rFonts w:ascii="Times New Roman" w:hAnsi="Times New Roman" w:cs="Times New Roman"/>
          <w:sz w:val="24"/>
          <w:szCs w:val="24"/>
        </w:rPr>
        <w:t xml:space="preserve">hangi </w:t>
      </w:r>
      <w:r w:rsidR="009D6CE6">
        <w:rPr>
          <w:rFonts w:ascii="Times New Roman" w:hAnsi="Times New Roman" w:cs="Times New Roman"/>
          <w:sz w:val="24"/>
          <w:szCs w:val="24"/>
        </w:rPr>
        <w:t>işlemlerin gerçekleştirileceğine</w:t>
      </w:r>
      <w:r w:rsidR="002866EF">
        <w:rPr>
          <w:rFonts w:ascii="Times New Roman" w:hAnsi="Times New Roman" w:cs="Times New Roman"/>
          <w:sz w:val="24"/>
          <w:szCs w:val="24"/>
        </w:rPr>
        <w:t xml:space="preserve"> (fon portföyüne alınacak türev araçlara ilişkin bilgiler, vb.)</w:t>
      </w:r>
      <w:r w:rsidR="002D6087" w:rsidRPr="00907360">
        <w:rPr>
          <w:rFonts w:ascii="Times New Roman" w:hAnsi="Times New Roman" w:cs="Times New Roman"/>
          <w:sz w:val="24"/>
          <w:szCs w:val="24"/>
        </w:rPr>
        <w:t xml:space="preserve">, söz konusu </w:t>
      </w:r>
      <w:r w:rsidR="009D6CE6">
        <w:rPr>
          <w:rFonts w:ascii="Times New Roman" w:hAnsi="Times New Roman" w:cs="Times New Roman"/>
          <w:sz w:val="24"/>
          <w:szCs w:val="24"/>
        </w:rPr>
        <w:t>işlemlerin</w:t>
      </w:r>
      <w:r w:rsidR="0014446D">
        <w:rPr>
          <w:rFonts w:ascii="Times New Roman" w:hAnsi="Times New Roman" w:cs="Times New Roman"/>
          <w:sz w:val="24"/>
          <w:szCs w:val="24"/>
        </w:rPr>
        <w:t xml:space="preserve"> </w:t>
      </w:r>
      <w:r w:rsidR="00E548B3">
        <w:rPr>
          <w:rFonts w:ascii="Times New Roman" w:hAnsi="Times New Roman" w:cs="Times New Roman"/>
          <w:sz w:val="24"/>
          <w:szCs w:val="24"/>
        </w:rPr>
        <w:t xml:space="preserve">içerdiği riskler ile bu işlemlerin </w:t>
      </w:r>
      <w:r w:rsidR="002D6087" w:rsidRPr="00907360">
        <w:rPr>
          <w:rFonts w:ascii="Times New Roman" w:hAnsi="Times New Roman" w:cs="Times New Roman"/>
          <w:sz w:val="24"/>
          <w:szCs w:val="24"/>
        </w:rPr>
        <w:t>fonun risk profiline olası etkilerine ilişkin açıklamalara</w:t>
      </w:r>
      <w:r>
        <w:rPr>
          <w:rFonts w:ascii="Times New Roman" w:hAnsi="Times New Roman" w:cs="Times New Roman"/>
          <w:sz w:val="24"/>
          <w:szCs w:val="24"/>
        </w:rPr>
        <w:t>,</w:t>
      </w:r>
    </w:p>
    <w:p w:rsidR="00FC26F8" w:rsidRDefault="002866EF" w:rsidP="0006161B">
      <w:pPr>
        <w:pStyle w:val="ListParagraph"/>
        <w:numPr>
          <w:ilvl w:val="0"/>
          <w:numId w:val="28"/>
        </w:numPr>
        <w:ind w:left="1418"/>
        <w:jc w:val="both"/>
        <w:rPr>
          <w:rFonts w:ascii="Times New Roman" w:hAnsi="Times New Roman" w:cs="Times New Roman"/>
          <w:sz w:val="24"/>
          <w:szCs w:val="24"/>
        </w:rPr>
      </w:pPr>
      <w:r w:rsidRPr="00AF3544">
        <w:rPr>
          <w:rFonts w:ascii="Times New Roman" w:hAnsi="Times New Roman" w:cs="Times New Roman"/>
          <w:sz w:val="24"/>
          <w:szCs w:val="24"/>
        </w:rPr>
        <w:t>Yatırım stratejisi</w:t>
      </w:r>
      <w:r w:rsidR="00552762">
        <w:rPr>
          <w:rFonts w:ascii="Times New Roman" w:hAnsi="Times New Roman" w:cs="Times New Roman"/>
          <w:sz w:val="24"/>
          <w:szCs w:val="24"/>
        </w:rPr>
        <w:t>nin</w:t>
      </w:r>
      <w:r w:rsidRPr="00AF3544">
        <w:rPr>
          <w:rFonts w:ascii="Times New Roman" w:hAnsi="Times New Roman" w:cs="Times New Roman"/>
          <w:sz w:val="24"/>
          <w:szCs w:val="24"/>
        </w:rPr>
        <w:t xml:space="preserve"> temel olarak kaldıraç yaratan işlemler</w:t>
      </w:r>
      <w:r w:rsidR="00401538">
        <w:rPr>
          <w:rFonts w:ascii="Times New Roman" w:hAnsi="Times New Roman" w:cs="Times New Roman"/>
          <w:sz w:val="24"/>
          <w:szCs w:val="24"/>
        </w:rPr>
        <w:t xml:space="preserve">e </w:t>
      </w:r>
      <w:r w:rsidR="00AF3544" w:rsidRPr="00AF3544">
        <w:rPr>
          <w:rFonts w:ascii="Times New Roman" w:hAnsi="Times New Roman" w:cs="Times New Roman"/>
          <w:sz w:val="24"/>
          <w:szCs w:val="24"/>
        </w:rPr>
        <w:t>dayan</w:t>
      </w:r>
      <w:r w:rsidR="00552762">
        <w:rPr>
          <w:rFonts w:ascii="Times New Roman" w:hAnsi="Times New Roman" w:cs="Times New Roman"/>
          <w:sz w:val="24"/>
          <w:szCs w:val="24"/>
        </w:rPr>
        <w:t>dığı durumlarda</w:t>
      </w:r>
      <w:r w:rsidR="00AF3544" w:rsidRPr="00AF3544">
        <w:rPr>
          <w:rFonts w:ascii="Times New Roman" w:hAnsi="Times New Roman" w:cs="Times New Roman"/>
          <w:sz w:val="24"/>
          <w:szCs w:val="24"/>
        </w:rPr>
        <w:t xml:space="preserve"> söz konusu hususa ilişkin bir uyarıya</w:t>
      </w:r>
      <w:r w:rsidR="00CC793A">
        <w:rPr>
          <w:rFonts w:ascii="Times New Roman" w:hAnsi="Times New Roman" w:cs="Times New Roman"/>
          <w:sz w:val="24"/>
          <w:szCs w:val="24"/>
        </w:rPr>
        <w:t>,</w:t>
      </w:r>
    </w:p>
    <w:p w:rsidR="003B5485" w:rsidRPr="00FC26F8" w:rsidRDefault="00552762" w:rsidP="0006161B">
      <w:pPr>
        <w:pStyle w:val="ListParagraph"/>
        <w:numPr>
          <w:ilvl w:val="0"/>
          <w:numId w:val="28"/>
        </w:numPr>
        <w:ind w:left="1418"/>
        <w:jc w:val="both"/>
        <w:rPr>
          <w:rFonts w:ascii="Times New Roman" w:hAnsi="Times New Roman" w:cs="Times New Roman"/>
          <w:sz w:val="24"/>
          <w:szCs w:val="24"/>
        </w:rPr>
      </w:pPr>
      <w:r>
        <w:rPr>
          <w:rFonts w:ascii="Times New Roman" w:hAnsi="Times New Roman" w:cs="Times New Roman"/>
          <w:sz w:val="24"/>
          <w:szCs w:val="24"/>
        </w:rPr>
        <w:t>K</w:t>
      </w:r>
      <w:r w:rsidR="003B5485">
        <w:rPr>
          <w:rFonts w:ascii="Times New Roman" w:hAnsi="Times New Roman" w:cs="Times New Roman"/>
          <w:sz w:val="24"/>
          <w:szCs w:val="24"/>
        </w:rPr>
        <w:t>ullanıla</w:t>
      </w:r>
      <w:r>
        <w:rPr>
          <w:rFonts w:ascii="Times New Roman" w:hAnsi="Times New Roman" w:cs="Times New Roman"/>
          <w:sz w:val="24"/>
          <w:szCs w:val="24"/>
        </w:rPr>
        <w:t>cak</w:t>
      </w:r>
      <w:r w:rsidR="003B5485">
        <w:rPr>
          <w:rFonts w:ascii="Times New Roman" w:hAnsi="Times New Roman" w:cs="Times New Roman"/>
          <w:sz w:val="24"/>
          <w:szCs w:val="24"/>
        </w:rPr>
        <w:t xml:space="preserve"> RMD modeline ilişkin bilgilere,</w:t>
      </w:r>
    </w:p>
    <w:p w:rsidR="00E47EB9" w:rsidRPr="00D46307" w:rsidRDefault="00E47EB9" w:rsidP="00E47EB9">
      <w:pPr>
        <w:pStyle w:val="ListParagraph"/>
        <w:numPr>
          <w:ilvl w:val="0"/>
          <w:numId w:val="28"/>
        </w:numPr>
        <w:ind w:left="1418"/>
        <w:jc w:val="both"/>
        <w:rPr>
          <w:rFonts w:ascii="Times New Roman" w:hAnsi="Times New Roman" w:cs="Times New Roman"/>
          <w:sz w:val="24"/>
          <w:szCs w:val="24"/>
        </w:rPr>
      </w:pPr>
      <w:r w:rsidRPr="009168AA">
        <w:rPr>
          <w:rFonts w:ascii="Times New Roman" w:eastAsia="Times New Roman" w:hAnsi="Times New Roman" w:cs="Times New Roman"/>
          <w:b/>
          <w:sz w:val="24"/>
          <w:szCs w:val="24"/>
          <w:lang w:eastAsia="tr-TR"/>
        </w:rPr>
        <w:t xml:space="preserve">(Değişiklik: </w:t>
      </w:r>
      <w:r w:rsidR="009168AA" w:rsidRPr="009168AA">
        <w:rPr>
          <w:rFonts w:ascii="Times New Roman" w:eastAsia="Times New Roman" w:hAnsi="Times New Roman" w:cs="Times New Roman"/>
          <w:b/>
          <w:sz w:val="24"/>
          <w:szCs w:val="24"/>
          <w:lang w:eastAsia="tr-TR"/>
        </w:rPr>
        <w:t>23.05.2016 tarih ve 17/573 sayılı Kurul Kararı ile)</w:t>
      </w:r>
      <w:r w:rsidR="009168AA">
        <w:t xml:space="preserve"> </w:t>
      </w:r>
      <w:r w:rsidRPr="008D37D1">
        <w:rPr>
          <w:rFonts w:ascii="Times New Roman" w:eastAsia="Times New Roman" w:hAnsi="Times New Roman" w:cs="Times New Roman"/>
          <w:sz w:val="24"/>
          <w:szCs w:val="24"/>
          <w:lang w:eastAsia="tr-TR"/>
        </w:rPr>
        <w:t>Rehber’in (7.2.2.) nolu bölümünün (b) bendi çerçevesinde belirlenen kaldıraç limiti ve söz konusu limitin ölçüm yöntemine ilişkin bilgiye</w:t>
      </w:r>
      <w:r>
        <w:rPr>
          <w:rFonts w:ascii="Times New Roman" w:eastAsia="Times New Roman" w:hAnsi="Times New Roman" w:cs="Times New Roman"/>
          <w:sz w:val="24"/>
          <w:szCs w:val="24"/>
          <w:lang w:eastAsia="tr-TR"/>
        </w:rPr>
        <w:t xml:space="preserve">, </w:t>
      </w:r>
    </w:p>
    <w:p w:rsidR="000E03E9" w:rsidRPr="000E03E9" w:rsidRDefault="002D6087" w:rsidP="0006161B">
      <w:pPr>
        <w:pStyle w:val="ListParagraph"/>
        <w:numPr>
          <w:ilvl w:val="0"/>
          <w:numId w:val="28"/>
        </w:numPr>
        <w:ind w:left="1418"/>
        <w:jc w:val="both"/>
        <w:rPr>
          <w:lang w:eastAsia="tr-TR"/>
        </w:rPr>
      </w:pPr>
      <w:r w:rsidRPr="00D46307">
        <w:rPr>
          <w:rFonts w:ascii="CenturySchoolbook" w:hAnsi="CenturySchoolbook" w:cs="CenturySchoolbook"/>
          <w:sz w:val="24"/>
          <w:szCs w:val="20"/>
        </w:rPr>
        <w:t>Göreli RMD yönteminin kullanıl</w:t>
      </w:r>
      <w:r w:rsidR="00552762">
        <w:rPr>
          <w:rFonts w:ascii="CenturySchoolbook" w:hAnsi="CenturySchoolbook" w:cs="CenturySchoolbook"/>
          <w:sz w:val="24"/>
          <w:szCs w:val="20"/>
        </w:rPr>
        <w:t>acağı durumlarda</w:t>
      </w:r>
      <w:r w:rsidRPr="00D46307">
        <w:rPr>
          <w:rFonts w:ascii="CenturySchoolbook" w:hAnsi="CenturySchoolbook" w:cs="CenturySchoolbook"/>
          <w:sz w:val="24"/>
          <w:szCs w:val="20"/>
        </w:rPr>
        <w:t xml:space="preserve"> referans portföye ilişkin bilgilere </w:t>
      </w:r>
    </w:p>
    <w:p w:rsidR="00B626E1" w:rsidRPr="00746A81" w:rsidRDefault="00280CD8" w:rsidP="00280CD8">
      <w:pPr>
        <w:ind w:firstLine="708"/>
        <w:jc w:val="both"/>
        <w:rPr>
          <w:lang w:eastAsia="tr-TR"/>
        </w:rPr>
      </w:pPr>
      <w:r>
        <w:rPr>
          <w:rFonts w:ascii="Times New Roman" w:hAnsi="Times New Roman" w:cs="Times New Roman"/>
          <w:sz w:val="24"/>
          <w:szCs w:val="24"/>
        </w:rPr>
        <w:t>f</w:t>
      </w:r>
      <w:r w:rsidR="00CC793A" w:rsidRPr="000E03E9">
        <w:rPr>
          <w:rFonts w:ascii="Times New Roman" w:hAnsi="Times New Roman" w:cs="Times New Roman"/>
          <w:sz w:val="24"/>
          <w:szCs w:val="24"/>
        </w:rPr>
        <w:t>on</w:t>
      </w:r>
      <w:r>
        <w:rPr>
          <w:rFonts w:ascii="Times New Roman" w:hAnsi="Times New Roman" w:cs="Times New Roman"/>
          <w:sz w:val="24"/>
          <w:szCs w:val="24"/>
        </w:rPr>
        <w:t xml:space="preserve"> </w:t>
      </w:r>
      <w:r w:rsidR="00CC793A" w:rsidRPr="000E03E9">
        <w:rPr>
          <w:rFonts w:ascii="CenturySchoolbook" w:hAnsi="CenturySchoolbook" w:cs="CenturySchoolbook"/>
          <w:sz w:val="24"/>
          <w:szCs w:val="20"/>
        </w:rPr>
        <w:t>izahnamesinde yer verilir.</w:t>
      </w:r>
    </w:p>
    <w:p w:rsidR="00D46307" w:rsidRPr="0030550B" w:rsidRDefault="00AB6185" w:rsidP="0030550B">
      <w:pPr>
        <w:jc w:val="both"/>
        <w:rPr>
          <w:rFonts w:ascii="Times New Roman" w:hAnsi="Times New Roman" w:cs="Times New Roman"/>
          <w:sz w:val="24"/>
          <w:szCs w:val="24"/>
        </w:rPr>
      </w:pPr>
      <w:r w:rsidRPr="00AB6185">
        <w:rPr>
          <w:rFonts w:ascii="Times New Roman" w:eastAsia="Times New Roman" w:hAnsi="Times New Roman" w:cs="Times New Roman"/>
          <w:sz w:val="24"/>
          <w:szCs w:val="24"/>
          <w:lang w:eastAsia="tr-TR"/>
        </w:rPr>
        <w:tab/>
        <w:t>b</w:t>
      </w:r>
      <w:r w:rsidR="00552762">
        <w:rPr>
          <w:rFonts w:ascii="Times New Roman" w:eastAsia="Times New Roman" w:hAnsi="Times New Roman" w:cs="Times New Roman"/>
          <w:sz w:val="24"/>
          <w:szCs w:val="24"/>
          <w:lang w:eastAsia="tr-TR"/>
        </w:rPr>
        <w:t>)</w:t>
      </w:r>
      <w:r w:rsidR="009F00F3">
        <w:rPr>
          <w:rFonts w:ascii="Times New Roman" w:hAnsi="Times New Roman" w:cs="Times New Roman"/>
          <w:sz w:val="24"/>
          <w:szCs w:val="24"/>
        </w:rPr>
        <w:t xml:space="preserve"> </w:t>
      </w:r>
      <w:r w:rsidR="00026FE4">
        <w:rPr>
          <w:rFonts w:ascii="Times New Roman" w:hAnsi="Times New Roman" w:cs="Times New Roman"/>
          <w:sz w:val="24"/>
          <w:szCs w:val="24"/>
        </w:rPr>
        <w:t>A</w:t>
      </w:r>
      <w:r w:rsidR="009F00F3">
        <w:rPr>
          <w:rFonts w:ascii="Times New Roman" w:hAnsi="Times New Roman" w:cs="Times New Roman"/>
          <w:sz w:val="24"/>
          <w:szCs w:val="24"/>
        </w:rPr>
        <w:t>çık pozis</w:t>
      </w:r>
      <w:r w:rsidR="00ED3CA4">
        <w:rPr>
          <w:rFonts w:ascii="Times New Roman" w:hAnsi="Times New Roman" w:cs="Times New Roman"/>
          <w:sz w:val="24"/>
          <w:szCs w:val="24"/>
        </w:rPr>
        <w:t>yonun ölçümünde Standart Yöntem’i</w:t>
      </w:r>
      <w:r w:rsidR="00552762">
        <w:rPr>
          <w:rFonts w:ascii="Times New Roman" w:hAnsi="Times New Roman" w:cs="Times New Roman"/>
          <w:sz w:val="24"/>
          <w:szCs w:val="24"/>
        </w:rPr>
        <w:t xml:space="preserve"> </w:t>
      </w:r>
      <w:r w:rsidR="0030550B">
        <w:rPr>
          <w:rFonts w:ascii="Times New Roman" w:hAnsi="Times New Roman" w:cs="Times New Roman"/>
          <w:sz w:val="24"/>
          <w:szCs w:val="24"/>
        </w:rPr>
        <w:t>kullanan</w:t>
      </w:r>
      <w:r w:rsidR="009F00F3">
        <w:rPr>
          <w:rFonts w:ascii="Times New Roman" w:hAnsi="Times New Roman" w:cs="Times New Roman"/>
          <w:sz w:val="24"/>
          <w:szCs w:val="24"/>
        </w:rPr>
        <w:t xml:space="preserve"> fonlar tarafında</w:t>
      </w:r>
      <w:r w:rsidR="0030550B">
        <w:rPr>
          <w:rFonts w:ascii="Times New Roman" w:hAnsi="Times New Roman" w:cs="Times New Roman"/>
          <w:sz w:val="24"/>
          <w:szCs w:val="24"/>
        </w:rPr>
        <w:t>n</w:t>
      </w:r>
      <w:r w:rsidR="00552762">
        <w:rPr>
          <w:rFonts w:ascii="Times New Roman" w:hAnsi="Times New Roman" w:cs="Times New Roman"/>
          <w:sz w:val="24"/>
          <w:szCs w:val="24"/>
        </w:rPr>
        <w:t xml:space="preserve"> </w:t>
      </w:r>
      <w:r w:rsidR="0030550B">
        <w:rPr>
          <w:rFonts w:ascii="Times New Roman" w:hAnsi="Times New Roman" w:cs="Times New Roman"/>
          <w:sz w:val="24"/>
          <w:szCs w:val="24"/>
        </w:rPr>
        <w:t xml:space="preserve">yatırım stratejisi </w:t>
      </w:r>
      <w:r w:rsidR="00D46307">
        <w:rPr>
          <w:rFonts w:ascii="Times New Roman" w:hAnsi="Times New Roman" w:cs="Times New Roman"/>
          <w:sz w:val="24"/>
          <w:szCs w:val="24"/>
        </w:rPr>
        <w:t>çerçevesinde</w:t>
      </w:r>
      <w:r w:rsidR="0030550B">
        <w:rPr>
          <w:rFonts w:ascii="Times New Roman" w:hAnsi="Times New Roman" w:cs="Times New Roman"/>
          <w:sz w:val="24"/>
          <w:szCs w:val="24"/>
        </w:rPr>
        <w:t xml:space="preserve"> </w:t>
      </w:r>
      <w:r w:rsidR="00552762">
        <w:rPr>
          <w:rFonts w:ascii="Times New Roman" w:hAnsi="Times New Roman" w:cs="Times New Roman"/>
          <w:sz w:val="24"/>
          <w:szCs w:val="24"/>
        </w:rPr>
        <w:t>kaldıraç yaratan işlemlerin</w:t>
      </w:r>
      <w:r w:rsidR="0030550B">
        <w:rPr>
          <w:rFonts w:ascii="Times New Roman" w:hAnsi="Times New Roman" w:cs="Times New Roman"/>
          <w:sz w:val="24"/>
          <w:szCs w:val="24"/>
        </w:rPr>
        <w:t xml:space="preserve"> fon portföyüne </w:t>
      </w:r>
      <w:r w:rsidR="00552762">
        <w:rPr>
          <w:rFonts w:ascii="Times New Roman" w:hAnsi="Times New Roman" w:cs="Times New Roman"/>
          <w:sz w:val="24"/>
          <w:szCs w:val="24"/>
        </w:rPr>
        <w:t xml:space="preserve">dahil edilmesinin </w:t>
      </w:r>
      <w:r w:rsidR="0030550B">
        <w:rPr>
          <w:rFonts w:ascii="Times New Roman" w:hAnsi="Times New Roman" w:cs="Times New Roman"/>
          <w:sz w:val="24"/>
          <w:szCs w:val="24"/>
        </w:rPr>
        <w:t xml:space="preserve">öngörüldüğü durumlarda </w:t>
      </w:r>
      <w:r w:rsidR="00D46307">
        <w:rPr>
          <w:rFonts w:ascii="Times New Roman" w:hAnsi="Times New Roman" w:cs="Times New Roman"/>
          <w:sz w:val="24"/>
          <w:szCs w:val="24"/>
        </w:rPr>
        <w:t>(a/i) bendinde belirlenen açıklamalara fon izahnamesinde yer verilir.</w:t>
      </w:r>
    </w:p>
    <w:p w:rsidR="00B626E1" w:rsidRPr="00B626E1" w:rsidRDefault="00B626E1" w:rsidP="00ED3CA4">
      <w:pPr>
        <w:pStyle w:val="ListParagraph"/>
      </w:pPr>
    </w:p>
    <w:p w:rsidR="002D6087" w:rsidRPr="00AE5F35" w:rsidRDefault="002D6087" w:rsidP="00AE5F35">
      <w:pPr>
        <w:pStyle w:val="Heading2"/>
      </w:pPr>
      <w:bookmarkStart w:id="260" w:name="_Toc383963253"/>
      <w:bookmarkStart w:id="261" w:name="_Toc130312612"/>
      <w:bookmarkStart w:id="262" w:name="_Toc130312745"/>
      <w:r w:rsidRPr="00AE5F35">
        <w:t>7.</w:t>
      </w:r>
      <w:r w:rsidR="00AE5F35" w:rsidRPr="00AE5F35">
        <w:t>8</w:t>
      </w:r>
      <w:r w:rsidRPr="00AE5F35">
        <w:t>. Garantili Yatırım Fonları ve Koruma Amaçlı Yatırım Fonlarına İlişkin Esaslar</w:t>
      </w:r>
      <w:bookmarkEnd w:id="260"/>
      <w:bookmarkEnd w:id="261"/>
      <w:bookmarkEnd w:id="262"/>
    </w:p>
    <w:p w:rsidR="004A7EDB" w:rsidRDefault="004A7EDB" w:rsidP="004A7EDB">
      <w:pPr>
        <w:shd w:val="clear" w:color="auto" w:fill="FFFFFF"/>
        <w:spacing w:after="0" w:line="255" w:lineRule="atLeast"/>
        <w:jc w:val="both"/>
        <w:rPr>
          <w:rFonts w:ascii="Times New Roman" w:eastAsia="Times New Roman" w:hAnsi="Times New Roman" w:cs="Times New Roman"/>
          <w:sz w:val="24"/>
          <w:szCs w:val="24"/>
          <w:lang w:eastAsia="tr-TR"/>
        </w:rPr>
      </w:pPr>
    </w:p>
    <w:p w:rsidR="002D6087" w:rsidRDefault="002D6087" w:rsidP="004152F5">
      <w:pPr>
        <w:shd w:val="clear" w:color="auto" w:fill="FFFFFF"/>
        <w:spacing w:after="0" w:line="255" w:lineRule="atLeast"/>
        <w:ind w:firstLine="708"/>
        <w:jc w:val="both"/>
        <w:rPr>
          <w:rFonts w:ascii="Times New Roman" w:eastAsia="Times New Roman" w:hAnsi="Times New Roman" w:cs="Times New Roman"/>
          <w:sz w:val="24"/>
          <w:szCs w:val="24"/>
          <w:lang w:eastAsia="tr-TR"/>
        </w:rPr>
      </w:pPr>
      <w:r w:rsidRPr="000461F1">
        <w:rPr>
          <w:rFonts w:ascii="Times New Roman" w:eastAsia="Times New Roman" w:hAnsi="Times New Roman" w:cs="Times New Roman"/>
          <w:sz w:val="24"/>
          <w:szCs w:val="24"/>
          <w:lang w:eastAsia="tr-TR"/>
        </w:rPr>
        <w:t>Garantili ve koruma amaçlı fonlar</w:t>
      </w:r>
      <w:r w:rsidR="00EA5833">
        <w:rPr>
          <w:rFonts w:ascii="Times New Roman" w:eastAsia="Times New Roman" w:hAnsi="Times New Roman" w:cs="Times New Roman"/>
          <w:sz w:val="24"/>
          <w:szCs w:val="24"/>
          <w:lang w:eastAsia="tr-TR"/>
        </w:rPr>
        <w:t>a ilişkin olarak</w:t>
      </w:r>
      <w:r w:rsidRPr="000461F1">
        <w:rPr>
          <w:rFonts w:ascii="Times New Roman" w:eastAsia="Times New Roman" w:hAnsi="Times New Roman" w:cs="Times New Roman"/>
          <w:sz w:val="24"/>
          <w:szCs w:val="24"/>
          <w:lang w:eastAsia="tr-TR"/>
        </w:rPr>
        <w:t xml:space="preserve">; </w:t>
      </w:r>
    </w:p>
    <w:p w:rsidR="00AE5F35" w:rsidRPr="000461F1" w:rsidRDefault="00AE5F35" w:rsidP="00F45F60">
      <w:pPr>
        <w:pStyle w:val="ListParagraph"/>
        <w:shd w:val="clear" w:color="auto" w:fill="FFFFFF"/>
        <w:tabs>
          <w:tab w:val="left" w:pos="1560"/>
        </w:tabs>
        <w:spacing w:after="0" w:line="255" w:lineRule="atLeast"/>
        <w:ind w:left="1560"/>
        <w:jc w:val="both"/>
        <w:rPr>
          <w:rFonts w:ascii="Times New Roman" w:eastAsia="Times New Roman" w:hAnsi="Times New Roman" w:cs="Times New Roman"/>
          <w:sz w:val="24"/>
          <w:szCs w:val="24"/>
          <w:lang w:eastAsia="tr-TR"/>
        </w:rPr>
      </w:pPr>
    </w:p>
    <w:p w:rsidR="002D6087" w:rsidRDefault="002D6087" w:rsidP="0006161B">
      <w:pPr>
        <w:pStyle w:val="ListParagraph"/>
        <w:numPr>
          <w:ilvl w:val="0"/>
          <w:numId w:val="29"/>
        </w:numPr>
        <w:shd w:val="clear" w:color="auto" w:fill="FFFFFF"/>
        <w:tabs>
          <w:tab w:val="left" w:pos="709"/>
        </w:tabs>
        <w:spacing w:after="0" w:line="255" w:lineRule="atLeast"/>
        <w:ind w:left="1134" w:hanging="425"/>
        <w:jc w:val="both"/>
        <w:rPr>
          <w:rFonts w:ascii="Times New Roman" w:eastAsia="Times New Roman" w:hAnsi="Times New Roman" w:cs="Times New Roman"/>
          <w:sz w:val="24"/>
          <w:szCs w:val="24"/>
          <w:lang w:eastAsia="tr-TR"/>
        </w:rPr>
      </w:pPr>
      <w:r w:rsidRPr="001162AE">
        <w:rPr>
          <w:rFonts w:ascii="Times New Roman" w:eastAsia="Times New Roman" w:hAnsi="Times New Roman" w:cs="Times New Roman"/>
          <w:sz w:val="24"/>
          <w:szCs w:val="24"/>
          <w:lang w:eastAsia="tr-TR"/>
        </w:rPr>
        <w:t xml:space="preserve">Fon Tebliği’nin 27’nci maddesinin yedinci fıkrasının (d) bendi uyarınca fon portföyüne borsa dışından alınan türev araçlar nedeniyle maruz kalınan karşı </w:t>
      </w:r>
      <w:r w:rsidRPr="00105F7F">
        <w:rPr>
          <w:rFonts w:ascii="Times New Roman" w:eastAsia="Times New Roman" w:hAnsi="Times New Roman" w:cs="Times New Roman"/>
          <w:sz w:val="24"/>
          <w:szCs w:val="24"/>
          <w:lang w:eastAsia="tr-TR"/>
        </w:rPr>
        <w:t>taraf riski fon toplam değerinin %20’sini aşamaz.</w:t>
      </w:r>
      <w:r w:rsidR="00026FE4">
        <w:rPr>
          <w:rFonts w:ascii="Times New Roman" w:eastAsia="Times New Roman" w:hAnsi="Times New Roman" w:cs="Times New Roman"/>
          <w:sz w:val="24"/>
          <w:szCs w:val="24"/>
          <w:lang w:eastAsia="tr-TR"/>
        </w:rPr>
        <w:t xml:space="preserve"> </w:t>
      </w:r>
      <w:r w:rsidR="00026FE4" w:rsidRPr="00026FE4">
        <w:rPr>
          <w:rFonts w:ascii="Times New Roman" w:eastAsia="Times New Roman" w:hAnsi="Times New Roman" w:cs="Times New Roman"/>
          <w:sz w:val="24"/>
          <w:szCs w:val="24"/>
          <w:lang w:eastAsia="tr-TR"/>
        </w:rPr>
        <w:t>Bu sınırlamaya uyumun yalnızca söz konusu araçların portföye dahil edilmeleri aşamasında sağlanması yeterlidir</w:t>
      </w:r>
      <w:r w:rsidR="00026FE4">
        <w:rPr>
          <w:rFonts w:ascii="Times New Roman" w:eastAsia="Times New Roman" w:hAnsi="Times New Roman" w:cs="Times New Roman"/>
          <w:sz w:val="24"/>
          <w:szCs w:val="24"/>
          <w:lang w:eastAsia="tr-TR"/>
        </w:rPr>
        <w:t>.</w:t>
      </w:r>
      <w:r w:rsidR="00026FE4">
        <w:rPr>
          <w:rStyle w:val="FootnoteReference"/>
          <w:rFonts w:ascii="Times New Roman" w:eastAsia="Times New Roman" w:hAnsi="Times New Roman" w:cs="Times New Roman"/>
          <w:sz w:val="24"/>
          <w:szCs w:val="24"/>
          <w:lang w:eastAsia="tr-TR"/>
        </w:rPr>
        <w:t xml:space="preserve"> </w:t>
      </w:r>
      <w:r w:rsidRPr="00105F7F">
        <w:rPr>
          <w:rFonts w:ascii="Times New Roman" w:eastAsia="Times New Roman" w:hAnsi="Times New Roman" w:cs="Times New Roman"/>
          <w:sz w:val="24"/>
          <w:szCs w:val="24"/>
          <w:lang w:eastAsia="tr-TR"/>
        </w:rPr>
        <w:t>Borsa dışı opsiyon</w:t>
      </w:r>
      <w:r w:rsidRPr="001162AE">
        <w:rPr>
          <w:rFonts w:ascii="Times New Roman" w:eastAsia="Times New Roman" w:hAnsi="Times New Roman" w:cs="Times New Roman"/>
          <w:sz w:val="24"/>
          <w:szCs w:val="24"/>
          <w:lang w:eastAsia="tr-TR"/>
        </w:rPr>
        <w:t xml:space="preserve"> sözleşmesi için karşı taraf riski, opsiyon sözleşmesi için ödenen primdir</w:t>
      </w:r>
      <w:r>
        <w:rPr>
          <w:rFonts w:ascii="Times New Roman" w:eastAsia="Times New Roman" w:hAnsi="Times New Roman" w:cs="Times New Roman"/>
          <w:sz w:val="24"/>
          <w:szCs w:val="24"/>
          <w:lang w:eastAsia="tr-TR"/>
        </w:rPr>
        <w:t>.</w:t>
      </w:r>
    </w:p>
    <w:p w:rsidR="004152F5" w:rsidRDefault="004152F5" w:rsidP="004152F5">
      <w:pPr>
        <w:pStyle w:val="ListParagraph"/>
        <w:shd w:val="clear" w:color="auto" w:fill="FFFFFF"/>
        <w:tabs>
          <w:tab w:val="left" w:pos="709"/>
        </w:tabs>
        <w:spacing w:after="0" w:line="255" w:lineRule="atLeast"/>
        <w:ind w:left="1134"/>
        <w:jc w:val="both"/>
        <w:rPr>
          <w:rFonts w:ascii="Times New Roman" w:eastAsia="Times New Roman" w:hAnsi="Times New Roman" w:cs="Times New Roman"/>
          <w:sz w:val="24"/>
          <w:szCs w:val="24"/>
          <w:lang w:eastAsia="tr-TR"/>
        </w:rPr>
      </w:pPr>
    </w:p>
    <w:p w:rsidR="00280CD8" w:rsidRPr="009006DB" w:rsidRDefault="004152F5" w:rsidP="0006161B">
      <w:pPr>
        <w:pStyle w:val="ListParagraph"/>
        <w:numPr>
          <w:ilvl w:val="0"/>
          <w:numId w:val="29"/>
        </w:numPr>
        <w:shd w:val="clear" w:color="auto" w:fill="FFFFFF"/>
        <w:tabs>
          <w:tab w:val="left" w:pos="709"/>
        </w:tabs>
        <w:spacing w:after="0" w:line="255" w:lineRule="atLeast"/>
        <w:ind w:left="1134" w:hanging="425"/>
        <w:jc w:val="both"/>
        <w:rPr>
          <w:rFonts w:ascii="Times New Roman" w:eastAsia="Times New Roman" w:hAnsi="Times New Roman" w:cs="Times New Roman"/>
          <w:sz w:val="24"/>
          <w:szCs w:val="24"/>
          <w:lang w:eastAsia="tr-TR"/>
        </w:rPr>
      </w:pPr>
      <w:r w:rsidRPr="009006DB">
        <w:rPr>
          <w:rFonts w:ascii="Times New Roman" w:hAnsi="Times New Roman" w:cs="Times New Roman"/>
          <w:sz w:val="24"/>
          <w:szCs w:val="24"/>
        </w:rPr>
        <w:t xml:space="preserve">Bu </w:t>
      </w:r>
      <w:r w:rsidR="002D6087" w:rsidRPr="009006DB">
        <w:rPr>
          <w:rFonts w:ascii="Times New Roman" w:hAnsi="Times New Roman" w:cs="Times New Roman"/>
          <w:sz w:val="24"/>
          <w:szCs w:val="24"/>
        </w:rPr>
        <w:t>Rehber’in (7.3.) nolu bölümü</w:t>
      </w:r>
      <w:r w:rsidR="00280CD8" w:rsidRPr="009006DB">
        <w:rPr>
          <w:rFonts w:ascii="Times New Roman" w:hAnsi="Times New Roman" w:cs="Times New Roman"/>
          <w:sz w:val="24"/>
          <w:szCs w:val="24"/>
        </w:rPr>
        <w:t xml:space="preserve">nde sayılan varlıklara ilave olarak </w:t>
      </w:r>
      <w:r w:rsidR="009006DB" w:rsidRPr="009006DB">
        <w:rPr>
          <w:rFonts w:ascii="Times New Roman" w:hAnsi="Times New Roman" w:cs="Times New Roman"/>
          <w:sz w:val="24"/>
          <w:szCs w:val="24"/>
        </w:rPr>
        <w:t xml:space="preserve">borsa dışından </w:t>
      </w:r>
      <w:r w:rsidR="00280CD8" w:rsidRPr="009006DB">
        <w:rPr>
          <w:rFonts w:ascii="Times New Roman" w:hAnsi="Times New Roman" w:cs="Times New Roman"/>
          <w:sz w:val="24"/>
          <w:szCs w:val="24"/>
        </w:rPr>
        <w:t xml:space="preserve">mal ve ekonomik göstergelere dayalı opsiyon sözleşmelerine yatırım yapılabilir. </w:t>
      </w:r>
    </w:p>
    <w:p w:rsidR="00280CD8" w:rsidRPr="00280CD8" w:rsidRDefault="00280CD8" w:rsidP="00280CD8">
      <w:pPr>
        <w:pStyle w:val="ListParagraph"/>
        <w:shd w:val="clear" w:color="auto" w:fill="FFFFFF"/>
        <w:tabs>
          <w:tab w:val="left" w:pos="709"/>
        </w:tabs>
        <w:spacing w:after="0" w:line="255" w:lineRule="atLeast"/>
        <w:ind w:left="1134"/>
        <w:jc w:val="both"/>
        <w:rPr>
          <w:rFonts w:ascii="Times New Roman" w:eastAsia="Times New Roman" w:hAnsi="Times New Roman" w:cs="Times New Roman"/>
          <w:sz w:val="24"/>
          <w:szCs w:val="24"/>
          <w:lang w:eastAsia="tr-TR"/>
        </w:rPr>
      </w:pPr>
    </w:p>
    <w:p w:rsidR="003966D0" w:rsidRPr="00771728" w:rsidRDefault="00280CD8" w:rsidP="0006161B">
      <w:pPr>
        <w:pStyle w:val="ListParagraph"/>
        <w:numPr>
          <w:ilvl w:val="0"/>
          <w:numId w:val="29"/>
        </w:numPr>
        <w:shd w:val="clear" w:color="auto" w:fill="FFFFFF"/>
        <w:tabs>
          <w:tab w:val="left" w:pos="709"/>
        </w:tabs>
        <w:spacing w:after="0" w:line="255" w:lineRule="atLeast"/>
        <w:ind w:left="1134" w:hanging="425"/>
        <w:jc w:val="both"/>
        <w:rPr>
          <w:rFonts w:ascii="Times New Roman" w:eastAsia="Times New Roman" w:hAnsi="Times New Roman" w:cs="Times New Roman"/>
          <w:sz w:val="24"/>
          <w:szCs w:val="24"/>
          <w:lang w:eastAsia="tr-TR"/>
        </w:rPr>
      </w:pPr>
      <w:r>
        <w:rPr>
          <w:rFonts w:ascii="Times New Roman" w:hAnsi="Times New Roman" w:cs="Times New Roman"/>
          <w:sz w:val="24"/>
          <w:szCs w:val="24"/>
        </w:rPr>
        <w:t>Bu Rehber’in</w:t>
      </w:r>
      <w:r w:rsidR="002D6087" w:rsidRPr="003966D0">
        <w:rPr>
          <w:rFonts w:ascii="Times New Roman" w:hAnsi="Times New Roman" w:cs="Times New Roman"/>
          <w:sz w:val="24"/>
          <w:szCs w:val="24"/>
        </w:rPr>
        <w:t xml:space="preserve"> (7.4.) nolu bölümünün (</w:t>
      </w:r>
      <w:r w:rsidR="003966D0" w:rsidRPr="003966D0">
        <w:rPr>
          <w:rFonts w:ascii="Times New Roman" w:hAnsi="Times New Roman" w:cs="Times New Roman"/>
          <w:sz w:val="24"/>
          <w:szCs w:val="24"/>
        </w:rPr>
        <w:t>a</w:t>
      </w:r>
      <w:r w:rsidR="002D6087" w:rsidRPr="003966D0">
        <w:rPr>
          <w:rFonts w:ascii="Times New Roman" w:hAnsi="Times New Roman" w:cs="Times New Roman"/>
          <w:sz w:val="24"/>
          <w:szCs w:val="24"/>
        </w:rPr>
        <w:t xml:space="preserve">) </w:t>
      </w:r>
      <w:r w:rsidR="002D6087" w:rsidRPr="00280CD8">
        <w:rPr>
          <w:rFonts w:ascii="Times New Roman" w:hAnsi="Times New Roman" w:cs="Times New Roman"/>
          <w:sz w:val="24"/>
          <w:szCs w:val="24"/>
        </w:rPr>
        <w:t>bendi</w:t>
      </w:r>
      <w:r w:rsidR="00771728">
        <w:rPr>
          <w:rFonts w:ascii="Times New Roman" w:hAnsi="Times New Roman" w:cs="Times New Roman"/>
          <w:sz w:val="24"/>
          <w:szCs w:val="24"/>
        </w:rPr>
        <w:t xml:space="preserve"> ile bu </w:t>
      </w:r>
      <w:r w:rsidR="00771728" w:rsidRPr="00771728">
        <w:rPr>
          <w:rFonts w:ascii="Times New Roman" w:hAnsi="Times New Roman" w:cs="Times New Roman"/>
          <w:sz w:val="24"/>
          <w:szCs w:val="24"/>
        </w:rPr>
        <w:t>Rehber’in</w:t>
      </w:r>
      <w:r w:rsidR="00042A12" w:rsidRPr="00771728">
        <w:rPr>
          <w:rFonts w:ascii="Times New Roman" w:hAnsi="Times New Roman" w:cs="Times New Roman"/>
          <w:sz w:val="24"/>
          <w:szCs w:val="24"/>
        </w:rPr>
        <w:t xml:space="preserve"> </w:t>
      </w:r>
      <w:r w:rsidR="009E6810" w:rsidRPr="00771728">
        <w:rPr>
          <w:rFonts w:ascii="Times New Roman" w:hAnsi="Times New Roman" w:cs="Times New Roman"/>
          <w:sz w:val="24"/>
          <w:szCs w:val="24"/>
        </w:rPr>
        <w:t>(7.7</w:t>
      </w:r>
      <w:r w:rsidR="00042A12" w:rsidRPr="00771728">
        <w:rPr>
          <w:rFonts w:ascii="Times New Roman" w:hAnsi="Times New Roman" w:cs="Times New Roman"/>
          <w:sz w:val="24"/>
          <w:szCs w:val="24"/>
        </w:rPr>
        <w:t>.</w:t>
      </w:r>
      <w:r w:rsidR="009E6810" w:rsidRPr="00771728">
        <w:rPr>
          <w:rFonts w:ascii="Times New Roman" w:hAnsi="Times New Roman" w:cs="Times New Roman"/>
          <w:sz w:val="24"/>
          <w:szCs w:val="24"/>
        </w:rPr>
        <w:t>) no</w:t>
      </w:r>
      <w:r w:rsidR="00FC26F8" w:rsidRPr="00771728">
        <w:rPr>
          <w:rFonts w:ascii="Times New Roman" w:hAnsi="Times New Roman" w:cs="Times New Roman"/>
          <w:sz w:val="24"/>
          <w:szCs w:val="24"/>
        </w:rPr>
        <w:t>lu bölümünün (a</w:t>
      </w:r>
      <w:r w:rsidRPr="00771728">
        <w:rPr>
          <w:rFonts w:ascii="Times New Roman" w:hAnsi="Times New Roman" w:cs="Times New Roman"/>
          <w:sz w:val="24"/>
          <w:szCs w:val="24"/>
        </w:rPr>
        <w:t>/iv</w:t>
      </w:r>
      <w:r w:rsidR="00FC26F8" w:rsidRPr="00771728">
        <w:rPr>
          <w:rFonts w:ascii="Times New Roman" w:hAnsi="Times New Roman" w:cs="Times New Roman"/>
          <w:sz w:val="24"/>
          <w:szCs w:val="24"/>
        </w:rPr>
        <w:t>) ben</w:t>
      </w:r>
      <w:r w:rsidR="00C05DC9" w:rsidRPr="00771728">
        <w:rPr>
          <w:rFonts w:ascii="Times New Roman" w:hAnsi="Times New Roman" w:cs="Times New Roman"/>
          <w:sz w:val="24"/>
          <w:szCs w:val="24"/>
        </w:rPr>
        <w:t>d</w:t>
      </w:r>
      <w:r w:rsidR="00FC26F8" w:rsidRPr="00771728">
        <w:rPr>
          <w:rFonts w:ascii="Times New Roman" w:hAnsi="Times New Roman" w:cs="Times New Roman"/>
          <w:sz w:val="24"/>
          <w:szCs w:val="24"/>
        </w:rPr>
        <w:t>i</w:t>
      </w:r>
      <w:r w:rsidR="002D6087" w:rsidRPr="00771728">
        <w:rPr>
          <w:rFonts w:ascii="Times New Roman" w:hAnsi="Times New Roman" w:cs="Times New Roman"/>
          <w:sz w:val="24"/>
          <w:szCs w:val="24"/>
        </w:rPr>
        <w:t xml:space="preserve"> uygulanmaz.</w:t>
      </w:r>
      <w:r w:rsidR="00C05DC9" w:rsidRPr="00771728">
        <w:rPr>
          <w:rFonts w:ascii="Times New Roman" w:hAnsi="Times New Roman" w:cs="Times New Roman"/>
          <w:sz w:val="24"/>
          <w:szCs w:val="24"/>
        </w:rPr>
        <w:t xml:space="preserve"> </w:t>
      </w:r>
    </w:p>
    <w:p w:rsidR="009006DB" w:rsidRDefault="009006DB" w:rsidP="003966D0">
      <w:pPr>
        <w:pStyle w:val="ListParagraph"/>
        <w:shd w:val="clear" w:color="auto" w:fill="FFFFFF"/>
        <w:tabs>
          <w:tab w:val="left" w:pos="709"/>
        </w:tabs>
        <w:spacing w:after="0" w:line="255" w:lineRule="atLeast"/>
        <w:ind w:left="1134"/>
        <w:jc w:val="both"/>
      </w:pPr>
      <w:bookmarkStart w:id="263" w:name="_Toc383963255"/>
    </w:p>
    <w:p w:rsidR="009006DB" w:rsidRPr="00771728" w:rsidRDefault="009006DB" w:rsidP="003966D0">
      <w:pPr>
        <w:pStyle w:val="ListParagraph"/>
        <w:shd w:val="clear" w:color="auto" w:fill="FFFFFF"/>
        <w:tabs>
          <w:tab w:val="left" w:pos="709"/>
        </w:tabs>
        <w:spacing w:after="0" w:line="255" w:lineRule="atLeast"/>
        <w:ind w:left="1134"/>
        <w:jc w:val="both"/>
      </w:pPr>
    </w:p>
    <w:p w:rsidR="002D6087" w:rsidRDefault="002D6087" w:rsidP="00AE5F35">
      <w:pPr>
        <w:pStyle w:val="Heading2"/>
        <w:rPr>
          <w:rFonts w:eastAsia="Times New Roman"/>
          <w:lang w:val="en-US" w:eastAsia="tr-TR"/>
        </w:rPr>
      </w:pPr>
      <w:bookmarkStart w:id="264" w:name="_Toc130312613"/>
      <w:bookmarkStart w:id="265" w:name="_Toc130312746"/>
      <w:r w:rsidRPr="00771728">
        <w:t>7.</w:t>
      </w:r>
      <w:r w:rsidR="00AE5F35" w:rsidRPr="00771728">
        <w:t>9</w:t>
      </w:r>
      <w:r w:rsidRPr="00771728">
        <w:t xml:space="preserve">. </w:t>
      </w:r>
      <w:r w:rsidRPr="00771728">
        <w:rPr>
          <w:rFonts w:eastAsia="Times New Roman"/>
          <w:lang w:eastAsia="tr-TR"/>
        </w:rPr>
        <w:t xml:space="preserve">Serbest Fonlara </w:t>
      </w:r>
      <w:r w:rsidRPr="00771728">
        <w:rPr>
          <w:rFonts w:eastAsia="Times New Roman"/>
          <w:lang w:val="en-US" w:eastAsia="tr-TR"/>
        </w:rPr>
        <w:t>İlişkinEsaslar</w:t>
      </w:r>
      <w:bookmarkEnd w:id="263"/>
      <w:bookmarkEnd w:id="264"/>
      <w:bookmarkEnd w:id="265"/>
    </w:p>
    <w:p w:rsidR="00F607D7" w:rsidRPr="00F607D7" w:rsidRDefault="00F607D7" w:rsidP="00F607D7">
      <w:pPr>
        <w:rPr>
          <w:lang w:val="en-US" w:eastAsia="tr-TR"/>
        </w:rPr>
      </w:pPr>
    </w:p>
    <w:p w:rsidR="002D6087" w:rsidRDefault="002D6087" w:rsidP="00AE5F35">
      <w:pPr>
        <w:shd w:val="clear" w:color="auto" w:fill="FFFFFF"/>
        <w:spacing w:after="0" w:line="255" w:lineRule="atLeast"/>
        <w:ind w:firstLine="708"/>
        <w:jc w:val="both"/>
        <w:rPr>
          <w:rFonts w:ascii="Times New Roman" w:eastAsia="Times New Roman" w:hAnsi="Times New Roman" w:cs="Times New Roman"/>
          <w:sz w:val="24"/>
          <w:szCs w:val="24"/>
          <w:lang w:eastAsia="tr-TR"/>
        </w:rPr>
      </w:pPr>
      <w:r w:rsidRPr="00726891">
        <w:rPr>
          <w:rFonts w:ascii="Times New Roman" w:eastAsia="Times New Roman" w:hAnsi="Times New Roman" w:cs="Times New Roman"/>
          <w:sz w:val="24"/>
          <w:szCs w:val="24"/>
          <w:lang w:eastAsia="tr-TR"/>
        </w:rPr>
        <w:t>Serbest fonlar tarafından</w:t>
      </w:r>
      <w:r>
        <w:rPr>
          <w:rFonts w:ascii="Times New Roman" w:eastAsia="Times New Roman" w:hAnsi="Times New Roman" w:cs="Times New Roman"/>
          <w:sz w:val="24"/>
          <w:szCs w:val="24"/>
          <w:lang w:eastAsia="tr-TR"/>
        </w:rPr>
        <w:t>;</w:t>
      </w:r>
    </w:p>
    <w:p w:rsidR="004152F5" w:rsidRDefault="004152F5" w:rsidP="00AE5F35">
      <w:pPr>
        <w:shd w:val="clear" w:color="auto" w:fill="FFFFFF"/>
        <w:spacing w:after="0" w:line="255" w:lineRule="atLeast"/>
        <w:ind w:firstLine="708"/>
        <w:jc w:val="both"/>
        <w:rPr>
          <w:rFonts w:ascii="Times New Roman" w:eastAsia="Times New Roman" w:hAnsi="Times New Roman" w:cs="Times New Roman"/>
          <w:sz w:val="24"/>
          <w:szCs w:val="24"/>
          <w:lang w:eastAsia="tr-TR"/>
        </w:rPr>
      </w:pPr>
    </w:p>
    <w:p w:rsidR="00065D2E" w:rsidRDefault="002D6087" w:rsidP="0006161B">
      <w:pPr>
        <w:pStyle w:val="ListParagraph"/>
        <w:numPr>
          <w:ilvl w:val="0"/>
          <w:numId w:val="25"/>
        </w:numPr>
        <w:shd w:val="clear" w:color="auto" w:fill="FFFFFF"/>
        <w:spacing w:after="0" w:line="255" w:lineRule="atLeast"/>
        <w:ind w:left="1418"/>
        <w:jc w:val="both"/>
        <w:rPr>
          <w:rFonts w:ascii="Times New Roman" w:eastAsia="Times New Roman" w:hAnsi="Times New Roman" w:cs="Times New Roman"/>
          <w:sz w:val="24"/>
          <w:szCs w:val="24"/>
          <w:lang w:eastAsia="tr-TR"/>
        </w:rPr>
      </w:pPr>
      <w:r w:rsidRPr="00BD2ED0">
        <w:rPr>
          <w:rFonts w:ascii="Times New Roman" w:eastAsia="Times New Roman" w:hAnsi="Times New Roman" w:cs="Times New Roman"/>
          <w:sz w:val="24"/>
          <w:szCs w:val="24"/>
          <w:lang w:eastAsia="tr-TR"/>
        </w:rPr>
        <w:t>Piyasa riskinin ölçü</w:t>
      </w:r>
      <w:r>
        <w:rPr>
          <w:rFonts w:ascii="Times New Roman" w:eastAsia="Times New Roman" w:hAnsi="Times New Roman" w:cs="Times New Roman"/>
          <w:sz w:val="24"/>
          <w:szCs w:val="24"/>
          <w:lang w:eastAsia="tr-TR"/>
        </w:rPr>
        <w:t>münde</w:t>
      </w:r>
      <w:r w:rsidRPr="00BD2ED0">
        <w:rPr>
          <w:rFonts w:ascii="Times New Roman" w:eastAsia="Times New Roman" w:hAnsi="Times New Roman" w:cs="Times New Roman"/>
          <w:sz w:val="24"/>
          <w:szCs w:val="24"/>
          <w:lang w:eastAsia="tr-TR"/>
        </w:rPr>
        <w:t xml:space="preserve"> RMD yöntemi kullanılır</w:t>
      </w:r>
      <w:r>
        <w:rPr>
          <w:rFonts w:ascii="Times New Roman" w:eastAsia="Times New Roman" w:hAnsi="Times New Roman" w:cs="Times New Roman"/>
          <w:sz w:val="24"/>
          <w:szCs w:val="24"/>
          <w:lang w:eastAsia="tr-TR"/>
        </w:rPr>
        <w:t xml:space="preserve"> ve</w:t>
      </w:r>
      <w:r w:rsidR="0014446D">
        <w:rPr>
          <w:rFonts w:ascii="Times New Roman" w:eastAsia="Times New Roman" w:hAnsi="Times New Roman" w:cs="Times New Roman"/>
          <w:sz w:val="24"/>
          <w:szCs w:val="24"/>
          <w:lang w:eastAsia="tr-TR"/>
        </w:rPr>
        <w:t xml:space="preserve"> </w:t>
      </w:r>
      <w:r w:rsidR="00065D2E">
        <w:rPr>
          <w:rFonts w:ascii="Times New Roman" w:eastAsia="Times New Roman" w:hAnsi="Times New Roman" w:cs="Times New Roman"/>
          <w:sz w:val="24"/>
          <w:szCs w:val="24"/>
          <w:lang w:eastAsia="tr-TR"/>
        </w:rPr>
        <w:t>bu kapsamda Rehber’in  (7.6.) nolu bölümünde yer alan esaslara uyulur.</w:t>
      </w:r>
    </w:p>
    <w:p w:rsidR="004152F5" w:rsidRDefault="004152F5" w:rsidP="004152F5">
      <w:pPr>
        <w:pStyle w:val="ListParagraph"/>
        <w:shd w:val="clear" w:color="auto" w:fill="FFFFFF"/>
        <w:spacing w:after="0" w:line="255" w:lineRule="atLeast"/>
        <w:ind w:left="1418"/>
        <w:jc w:val="both"/>
        <w:rPr>
          <w:rFonts w:ascii="Times New Roman" w:eastAsia="Times New Roman" w:hAnsi="Times New Roman" w:cs="Times New Roman"/>
          <w:sz w:val="24"/>
          <w:szCs w:val="24"/>
          <w:lang w:eastAsia="tr-TR"/>
        </w:rPr>
      </w:pPr>
    </w:p>
    <w:p w:rsidR="005248C8" w:rsidRDefault="00BC7986" w:rsidP="00BB1D63">
      <w:pPr>
        <w:pStyle w:val="ListParagraph"/>
        <w:numPr>
          <w:ilvl w:val="0"/>
          <w:numId w:val="25"/>
        </w:numPr>
        <w:shd w:val="clear" w:color="auto" w:fill="FFFFFF"/>
        <w:spacing w:after="0" w:line="255" w:lineRule="atLeast"/>
        <w:ind w:left="1418"/>
        <w:jc w:val="both"/>
        <w:rPr>
          <w:rFonts w:ascii="Times New Roman" w:eastAsia="Times New Roman" w:hAnsi="Times New Roman" w:cs="Times New Roman"/>
          <w:sz w:val="24"/>
          <w:szCs w:val="24"/>
          <w:lang w:eastAsia="tr-TR"/>
        </w:rPr>
      </w:pPr>
      <w:r w:rsidRPr="00BC7986">
        <w:rPr>
          <w:rFonts w:ascii="Times New Roman" w:eastAsia="Times New Roman" w:hAnsi="Times New Roman" w:cs="Times New Roman"/>
          <w:b/>
          <w:sz w:val="24"/>
          <w:szCs w:val="24"/>
          <w:lang w:eastAsia="tr-TR"/>
        </w:rPr>
        <w:t>(Değişiklik: 21.03.2023 tarih ve 17/366 sayılı Kurul Kararı ile)</w:t>
      </w:r>
      <w:r>
        <w:rPr>
          <w:rFonts w:eastAsia="Times New Roman" w:cs="Times New Roman"/>
          <w:lang w:eastAsia="tr-TR"/>
        </w:rPr>
        <w:t xml:space="preserve"> </w:t>
      </w:r>
      <w:r w:rsidR="001D2781" w:rsidRPr="005248C8">
        <w:rPr>
          <w:rFonts w:ascii="Times New Roman" w:eastAsia="Times New Roman" w:hAnsi="Times New Roman" w:cs="Times New Roman"/>
          <w:sz w:val="24"/>
          <w:szCs w:val="24"/>
          <w:lang w:eastAsia="tr-TR"/>
        </w:rPr>
        <w:t xml:space="preserve">Bu </w:t>
      </w:r>
      <w:r w:rsidR="002D6087" w:rsidRPr="005248C8">
        <w:rPr>
          <w:rFonts w:ascii="Times New Roman" w:eastAsia="Times New Roman" w:hAnsi="Times New Roman" w:cs="Times New Roman"/>
          <w:sz w:val="24"/>
          <w:szCs w:val="24"/>
          <w:lang w:eastAsia="tr-TR"/>
        </w:rPr>
        <w:t>Rehber’in (7.2.</w:t>
      </w:r>
      <w:r w:rsidR="00347142" w:rsidRPr="005248C8">
        <w:rPr>
          <w:rFonts w:ascii="Times New Roman" w:eastAsia="Times New Roman" w:hAnsi="Times New Roman" w:cs="Times New Roman"/>
          <w:sz w:val="24"/>
          <w:szCs w:val="24"/>
          <w:lang w:eastAsia="tr-TR"/>
        </w:rPr>
        <w:t>2</w:t>
      </w:r>
      <w:r w:rsidR="002D6087" w:rsidRPr="005248C8">
        <w:rPr>
          <w:rFonts w:ascii="Times New Roman" w:eastAsia="Times New Roman" w:hAnsi="Times New Roman" w:cs="Times New Roman"/>
          <w:sz w:val="24"/>
          <w:szCs w:val="24"/>
          <w:lang w:eastAsia="tr-TR"/>
        </w:rPr>
        <w:t>.) nolu bölümünün (a), (c)</w:t>
      </w:r>
      <w:r w:rsidR="009006DB" w:rsidRPr="005248C8">
        <w:rPr>
          <w:rFonts w:ascii="Times New Roman" w:eastAsia="Times New Roman" w:hAnsi="Times New Roman" w:cs="Times New Roman"/>
          <w:sz w:val="24"/>
          <w:szCs w:val="24"/>
          <w:lang w:eastAsia="tr-TR"/>
        </w:rPr>
        <w:t>,</w:t>
      </w:r>
      <w:r w:rsidR="002D6087" w:rsidRPr="005248C8">
        <w:rPr>
          <w:rFonts w:ascii="Times New Roman" w:eastAsia="Times New Roman" w:hAnsi="Times New Roman" w:cs="Times New Roman"/>
          <w:sz w:val="24"/>
          <w:szCs w:val="24"/>
          <w:lang w:eastAsia="tr-TR"/>
        </w:rPr>
        <w:t xml:space="preserve"> (d)</w:t>
      </w:r>
      <w:r w:rsidR="009006DB" w:rsidRPr="005248C8">
        <w:rPr>
          <w:rFonts w:ascii="Times New Roman" w:eastAsia="Times New Roman" w:hAnsi="Times New Roman" w:cs="Times New Roman"/>
          <w:sz w:val="24"/>
          <w:szCs w:val="24"/>
          <w:lang w:eastAsia="tr-TR"/>
        </w:rPr>
        <w:t xml:space="preserve"> ve (e)</w:t>
      </w:r>
      <w:r w:rsidR="002D6087" w:rsidRPr="005248C8">
        <w:rPr>
          <w:rFonts w:ascii="Times New Roman" w:eastAsia="Times New Roman" w:hAnsi="Times New Roman" w:cs="Times New Roman"/>
          <w:sz w:val="24"/>
          <w:szCs w:val="24"/>
          <w:lang w:eastAsia="tr-TR"/>
        </w:rPr>
        <w:t xml:space="preserve"> bentleri, (7.4.) </w:t>
      </w:r>
      <w:r w:rsidR="00EF1EDF" w:rsidRPr="005248C8">
        <w:rPr>
          <w:rFonts w:ascii="Times New Roman" w:eastAsia="Times New Roman" w:hAnsi="Times New Roman" w:cs="Times New Roman"/>
          <w:sz w:val="24"/>
          <w:szCs w:val="24"/>
          <w:lang w:eastAsia="tr-TR"/>
        </w:rPr>
        <w:t>ve (7.5.) nolu bölümleri</w:t>
      </w:r>
      <w:r w:rsidR="000E1C31">
        <w:rPr>
          <w:rFonts w:ascii="Times New Roman" w:eastAsia="Times New Roman" w:hAnsi="Times New Roman" w:cs="Times New Roman"/>
          <w:sz w:val="24"/>
          <w:szCs w:val="24"/>
          <w:lang w:eastAsia="tr-TR"/>
        </w:rPr>
        <w:t xml:space="preserve"> uygulanmaz ve</w:t>
      </w:r>
      <w:r w:rsidR="00EF1EDF" w:rsidRPr="005248C8">
        <w:rPr>
          <w:rFonts w:ascii="Times New Roman" w:eastAsia="Times New Roman" w:hAnsi="Times New Roman" w:cs="Times New Roman"/>
          <w:sz w:val="24"/>
          <w:szCs w:val="24"/>
          <w:lang w:eastAsia="tr-TR"/>
        </w:rPr>
        <w:t xml:space="preserve"> (7.6.2</w:t>
      </w:r>
      <w:r w:rsidR="002D6087" w:rsidRPr="005248C8">
        <w:rPr>
          <w:rFonts w:ascii="Times New Roman" w:eastAsia="Times New Roman" w:hAnsi="Times New Roman" w:cs="Times New Roman"/>
          <w:sz w:val="24"/>
          <w:szCs w:val="24"/>
          <w:lang w:eastAsia="tr-TR"/>
        </w:rPr>
        <w:t xml:space="preserve">.) nolu bölümünde </w:t>
      </w:r>
      <w:r w:rsidR="009E6810" w:rsidRPr="005248C8">
        <w:rPr>
          <w:rFonts w:ascii="Times New Roman" w:eastAsia="Times New Roman" w:hAnsi="Times New Roman" w:cs="Times New Roman"/>
          <w:sz w:val="24"/>
          <w:szCs w:val="24"/>
          <w:lang w:eastAsia="tr-TR"/>
        </w:rPr>
        <w:t>RMD</w:t>
      </w:r>
      <w:r w:rsidR="002D6087" w:rsidRPr="005248C8">
        <w:rPr>
          <w:rFonts w:ascii="Times New Roman" w:eastAsia="Times New Roman" w:hAnsi="Times New Roman" w:cs="Times New Roman"/>
          <w:sz w:val="24"/>
          <w:szCs w:val="24"/>
          <w:lang w:eastAsia="tr-TR"/>
        </w:rPr>
        <w:t xml:space="preserve"> yöntemleri için </w:t>
      </w:r>
      <w:r w:rsidR="005248C8" w:rsidRPr="005248C8">
        <w:rPr>
          <w:rFonts w:ascii="Times New Roman" w:eastAsia="Times New Roman" w:hAnsi="Times New Roman" w:cs="Times New Roman"/>
          <w:sz w:val="24"/>
          <w:szCs w:val="24"/>
          <w:lang w:eastAsia="tr-TR"/>
        </w:rPr>
        <w:t>belirlenen üst limitlerden daha yüksek oranda limit belirlenebilir.</w:t>
      </w:r>
    </w:p>
    <w:p w:rsidR="004152F5" w:rsidRPr="005248C8" w:rsidRDefault="004152F5" w:rsidP="005248C8">
      <w:pPr>
        <w:pStyle w:val="ListParagraph"/>
        <w:shd w:val="clear" w:color="auto" w:fill="FFFFFF"/>
        <w:spacing w:after="0" w:line="255" w:lineRule="atLeast"/>
        <w:ind w:left="1418"/>
        <w:jc w:val="both"/>
        <w:rPr>
          <w:rFonts w:ascii="Times New Roman" w:eastAsia="Times New Roman" w:hAnsi="Times New Roman" w:cs="Times New Roman"/>
          <w:sz w:val="24"/>
          <w:szCs w:val="24"/>
          <w:lang w:eastAsia="tr-TR"/>
        </w:rPr>
      </w:pPr>
    </w:p>
    <w:p w:rsidR="00AE5F35" w:rsidRDefault="00B12A75" w:rsidP="0006161B">
      <w:pPr>
        <w:pStyle w:val="ListParagraph"/>
        <w:numPr>
          <w:ilvl w:val="0"/>
          <w:numId w:val="25"/>
        </w:numPr>
        <w:shd w:val="clear" w:color="auto" w:fill="FFFFFF"/>
        <w:spacing w:after="0" w:line="255" w:lineRule="atLeast"/>
        <w:ind w:left="141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Rehber’in (7.2.</w:t>
      </w:r>
      <w:r w:rsidR="00347142">
        <w:rPr>
          <w:rFonts w:ascii="Times New Roman" w:eastAsia="Times New Roman" w:hAnsi="Times New Roman" w:cs="Times New Roman"/>
          <w:sz w:val="24"/>
          <w:szCs w:val="24"/>
          <w:lang w:eastAsia="tr-TR"/>
        </w:rPr>
        <w:t>2</w:t>
      </w:r>
      <w:r>
        <w:rPr>
          <w:rFonts w:ascii="Times New Roman" w:eastAsia="Times New Roman" w:hAnsi="Times New Roman" w:cs="Times New Roman"/>
          <w:sz w:val="24"/>
          <w:szCs w:val="24"/>
          <w:lang w:eastAsia="tr-TR"/>
        </w:rPr>
        <w:t xml:space="preserve">.) bölümünün (d) bendi çerçevesinde </w:t>
      </w:r>
      <w:r w:rsidR="00AF6DC5">
        <w:rPr>
          <w:rFonts w:ascii="Times New Roman" w:eastAsia="Times New Roman" w:hAnsi="Times New Roman" w:cs="Times New Roman"/>
          <w:sz w:val="24"/>
          <w:szCs w:val="24"/>
          <w:lang w:eastAsia="tr-TR"/>
        </w:rPr>
        <w:t>t</w:t>
      </w:r>
      <w:r w:rsidR="00E548B3" w:rsidRPr="00E548B3">
        <w:rPr>
          <w:rFonts w:ascii="Times New Roman" w:eastAsia="Times New Roman" w:hAnsi="Times New Roman" w:cs="Times New Roman"/>
          <w:sz w:val="24"/>
          <w:szCs w:val="24"/>
          <w:lang w:eastAsia="tr-TR"/>
        </w:rPr>
        <w:t>eminat</w:t>
      </w:r>
      <w:r w:rsidR="00AF6DC5">
        <w:rPr>
          <w:rFonts w:ascii="Times New Roman" w:eastAsia="Times New Roman" w:hAnsi="Times New Roman" w:cs="Times New Roman"/>
          <w:sz w:val="24"/>
          <w:szCs w:val="24"/>
          <w:lang w:eastAsia="tr-TR"/>
        </w:rPr>
        <w:t>lar</w:t>
      </w:r>
      <w:r w:rsidR="00E548B3" w:rsidRPr="00E548B3">
        <w:rPr>
          <w:rFonts w:ascii="Times New Roman" w:eastAsia="Times New Roman" w:hAnsi="Times New Roman" w:cs="Times New Roman"/>
          <w:sz w:val="24"/>
          <w:szCs w:val="24"/>
          <w:lang w:eastAsia="tr-TR"/>
        </w:rPr>
        <w:t xml:space="preserve">ın ve varlıkların yeniden </w:t>
      </w:r>
      <w:r w:rsidR="00AF6DC5">
        <w:rPr>
          <w:rFonts w:ascii="Times New Roman" w:eastAsia="Times New Roman" w:hAnsi="Times New Roman" w:cs="Times New Roman"/>
          <w:sz w:val="24"/>
          <w:szCs w:val="24"/>
          <w:lang w:eastAsia="tr-TR"/>
        </w:rPr>
        <w:t>yatırıma yönlendirilmesine</w:t>
      </w:r>
      <w:r w:rsidR="00280CD8">
        <w:rPr>
          <w:rFonts w:ascii="Times New Roman" w:eastAsia="Times New Roman" w:hAnsi="Times New Roman" w:cs="Times New Roman"/>
          <w:sz w:val="24"/>
          <w:szCs w:val="24"/>
          <w:lang w:eastAsia="tr-TR"/>
        </w:rPr>
        <w:t xml:space="preserve"> </w:t>
      </w:r>
      <w:r w:rsidR="00E548B3" w:rsidRPr="00E548B3">
        <w:rPr>
          <w:rFonts w:ascii="Times New Roman" w:eastAsia="Times New Roman" w:hAnsi="Times New Roman" w:cs="Times New Roman"/>
          <w:sz w:val="24"/>
          <w:szCs w:val="24"/>
          <w:lang w:eastAsia="tr-TR"/>
        </w:rPr>
        <w:t xml:space="preserve">ilişkin esaslara </w:t>
      </w:r>
      <w:r w:rsidR="002D6087" w:rsidRPr="00E548B3">
        <w:rPr>
          <w:rFonts w:ascii="Times New Roman" w:eastAsia="Times New Roman" w:hAnsi="Times New Roman" w:cs="Times New Roman"/>
          <w:sz w:val="24"/>
          <w:szCs w:val="24"/>
          <w:lang w:eastAsia="tr-TR"/>
        </w:rPr>
        <w:t>fon izahnamesinde yer verilir</w:t>
      </w:r>
      <w:r w:rsidR="00E548B3" w:rsidRPr="00E548B3">
        <w:rPr>
          <w:rFonts w:ascii="Times New Roman" w:eastAsia="Times New Roman" w:hAnsi="Times New Roman" w:cs="Times New Roman"/>
          <w:sz w:val="24"/>
          <w:szCs w:val="24"/>
          <w:lang w:eastAsia="tr-TR"/>
        </w:rPr>
        <w:t>.</w:t>
      </w:r>
    </w:p>
    <w:p w:rsidR="004152F5" w:rsidRPr="00E548B3" w:rsidRDefault="004152F5" w:rsidP="004152F5">
      <w:pPr>
        <w:pStyle w:val="ListParagraph"/>
        <w:shd w:val="clear" w:color="auto" w:fill="FFFFFF"/>
        <w:spacing w:after="0" w:line="255" w:lineRule="atLeast"/>
        <w:ind w:left="1418"/>
        <w:jc w:val="both"/>
        <w:rPr>
          <w:rFonts w:ascii="Times New Roman" w:eastAsia="Times New Roman" w:hAnsi="Times New Roman" w:cs="Times New Roman"/>
          <w:sz w:val="24"/>
          <w:szCs w:val="24"/>
          <w:lang w:eastAsia="tr-TR"/>
        </w:rPr>
      </w:pPr>
    </w:p>
    <w:p w:rsidR="00E47EB9" w:rsidRPr="001162AE" w:rsidRDefault="00E47EB9" w:rsidP="00E47EB9">
      <w:pPr>
        <w:pStyle w:val="ListParagraph"/>
        <w:numPr>
          <w:ilvl w:val="0"/>
          <w:numId w:val="25"/>
        </w:numPr>
        <w:shd w:val="clear" w:color="auto" w:fill="FFFFFF"/>
        <w:spacing w:after="0" w:line="255" w:lineRule="atLeast"/>
        <w:ind w:left="1418"/>
        <w:jc w:val="both"/>
        <w:rPr>
          <w:rFonts w:ascii="Times New Roman" w:eastAsia="Times New Roman" w:hAnsi="Times New Roman" w:cs="Times New Roman"/>
          <w:sz w:val="24"/>
          <w:szCs w:val="24"/>
          <w:lang w:eastAsia="tr-TR"/>
        </w:rPr>
      </w:pPr>
      <w:r w:rsidRPr="009168AA">
        <w:rPr>
          <w:rFonts w:ascii="Times New Roman" w:eastAsia="Times New Roman" w:hAnsi="Times New Roman" w:cs="Times New Roman"/>
          <w:b/>
          <w:sz w:val="24"/>
          <w:szCs w:val="24"/>
          <w:lang w:eastAsia="tr-TR"/>
        </w:rPr>
        <w:t xml:space="preserve">(Değişiklik: </w:t>
      </w:r>
      <w:r w:rsidR="009168AA" w:rsidRPr="009168AA">
        <w:rPr>
          <w:rFonts w:ascii="Times New Roman" w:eastAsia="Times New Roman" w:hAnsi="Times New Roman" w:cs="Times New Roman"/>
          <w:b/>
          <w:sz w:val="24"/>
          <w:szCs w:val="24"/>
          <w:lang w:eastAsia="tr-TR"/>
        </w:rPr>
        <w:t>23.05.2016 tarih ve 17/573 sayılı Kurul Kararı ile)</w:t>
      </w:r>
      <w:r w:rsidR="009168AA">
        <w:t xml:space="preserve"> </w:t>
      </w:r>
      <w:r w:rsidRPr="008D37D1">
        <w:rPr>
          <w:rFonts w:ascii="Times New Roman" w:eastAsia="Times New Roman" w:hAnsi="Times New Roman" w:cs="Times New Roman"/>
          <w:sz w:val="24"/>
          <w:szCs w:val="24"/>
          <w:lang w:eastAsia="tr-TR"/>
        </w:rPr>
        <w:t>Uygulanan kaldıraç seviyesine ve belirlenen risk limitlerine uyuma ilişin bilgi, aylık dönemler itibarıyla katılma payı sahiplerine en uygun haberleşme vasıtasıyla bildirilir.</w:t>
      </w:r>
      <w:r>
        <w:rPr>
          <w:rFonts w:ascii="Times New Roman" w:eastAsia="Times New Roman" w:hAnsi="Times New Roman" w:cs="Times New Roman"/>
          <w:sz w:val="24"/>
          <w:szCs w:val="24"/>
          <w:lang w:eastAsia="tr-TR"/>
        </w:rPr>
        <w:t xml:space="preserve"> </w:t>
      </w:r>
    </w:p>
    <w:p w:rsidR="00BE2412" w:rsidRPr="000100CE" w:rsidRDefault="00BE2412" w:rsidP="00960459">
      <w:pPr>
        <w:shd w:val="clear" w:color="auto" w:fill="FFFFFF"/>
        <w:spacing w:after="240" w:line="240" w:lineRule="auto"/>
        <w:ind w:left="142" w:right="-141"/>
        <w:jc w:val="both"/>
        <w:rPr>
          <w:rFonts w:ascii="Times New Roman" w:eastAsia="Times New Roman" w:hAnsi="Times New Roman" w:cs="Times New Roman"/>
          <w:sz w:val="24"/>
          <w:szCs w:val="24"/>
          <w:lang w:eastAsia="tr-TR"/>
        </w:rPr>
      </w:pPr>
    </w:p>
    <w:p w:rsidR="00D41C58" w:rsidRDefault="00A30A8D" w:rsidP="00AE5F35">
      <w:pPr>
        <w:pStyle w:val="Heading1"/>
      </w:pPr>
      <w:bookmarkStart w:id="266" w:name="_Toc130312614"/>
      <w:bookmarkStart w:id="267" w:name="_Toc130312747"/>
      <w:r>
        <w:t>8</w:t>
      </w:r>
      <w:r w:rsidR="00D41C58" w:rsidRPr="009D534F">
        <w:t xml:space="preserve">. </w:t>
      </w:r>
      <w:r w:rsidR="00D41C58" w:rsidRPr="005D5277">
        <w:t>Fonlara İlişkin Operasyonel Esaslar</w:t>
      </w:r>
      <w:bookmarkEnd w:id="266"/>
      <w:bookmarkEnd w:id="267"/>
    </w:p>
    <w:p w:rsidR="00686430" w:rsidRPr="00686430" w:rsidRDefault="00686430" w:rsidP="00686430"/>
    <w:p w:rsidR="00D41C58" w:rsidRDefault="00A30A8D" w:rsidP="00CE5BAA">
      <w:pPr>
        <w:pStyle w:val="Heading2"/>
        <w:rPr>
          <w:rFonts w:eastAsia="Times New Roman"/>
          <w:lang w:eastAsia="tr-TR"/>
        </w:rPr>
      </w:pPr>
      <w:bookmarkStart w:id="268" w:name="_Toc130312615"/>
      <w:bookmarkStart w:id="269" w:name="_Toc130312748"/>
      <w:r>
        <w:rPr>
          <w:rFonts w:eastAsia="Times New Roman"/>
          <w:lang w:eastAsia="tr-TR"/>
        </w:rPr>
        <w:t>8</w:t>
      </w:r>
      <w:r w:rsidR="00D41C58">
        <w:rPr>
          <w:rFonts w:eastAsia="Times New Roman"/>
          <w:lang w:eastAsia="tr-TR"/>
        </w:rPr>
        <w:t>.1</w:t>
      </w:r>
      <w:r w:rsidR="00D41C58" w:rsidRPr="009D534F">
        <w:rPr>
          <w:rFonts w:eastAsia="Times New Roman"/>
          <w:lang w:eastAsia="tr-TR"/>
        </w:rPr>
        <w:t>.Katılma Paylarına İlişkin Bilgilerin Güncellenmesi ve MKK’ya Aktarımı</w:t>
      </w:r>
      <w:bookmarkEnd w:id="268"/>
      <w:bookmarkEnd w:id="269"/>
    </w:p>
    <w:p w:rsidR="00686430" w:rsidRPr="00686430" w:rsidRDefault="00686430" w:rsidP="00686430">
      <w:pPr>
        <w:rPr>
          <w:lang w:eastAsia="tr-TR"/>
        </w:rPr>
      </w:pPr>
    </w:p>
    <w:p w:rsidR="00D41C58" w:rsidRPr="00C97BD2" w:rsidRDefault="00D41C58" w:rsidP="00686430">
      <w:pPr>
        <w:shd w:val="clear" w:color="auto" w:fill="FFFFFF"/>
        <w:spacing w:after="240" w:line="240" w:lineRule="auto"/>
        <w:ind w:right="-141" w:firstLine="491"/>
        <w:jc w:val="both"/>
        <w:rPr>
          <w:rFonts w:ascii="Times New Roman" w:eastAsia="Times New Roman" w:hAnsi="Times New Roman" w:cs="Times New Roman"/>
          <w:sz w:val="24"/>
          <w:szCs w:val="24"/>
          <w:lang w:eastAsia="tr-TR"/>
        </w:rPr>
      </w:pPr>
      <w:r w:rsidRPr="00C97BD2">
        <w:rPr>
          <w:rFonts w:ascii="Times New Roman" w:eastAsia="Times New Roman" w:hAnsi="Times New Roman" w:cs="Times New Roman"/>
          <w:sz w:val="24"/>
          <w:szCs w:val="24"/>
          <w:lang w:eastAsia="tr-TR"/>
        </w:rPr>
        <w:t xml:space="preserve">Para piyasası fonları ile kısa vadeli borçlanma araçları fonlarına ilişkin olarak, </w:t>
      </w:r>
    </w:p>
    <w:p w:rsidR="00D41C58" w:rsidRDefault="00D41C58" w:rsidP="0006161B">
      <w:pPr>
        <w:pStyle w:val="ListParagraph"/>
        <w:numPr>
          <w:ilvl w:val="0"/>
          <w:numId w:val="12"/>
        </w:numPr>
        <w:shd w:val="clear" w:color="auto" w:fill="FFFFFF"/>
        <w:spacing w:after="240" w:line="240" w:lineRule="auto"/>
        <w:ind w:left="851"/>
        <w:jc w:val="both"/>
        <w:rPr>
          <w:rFonts w:ascii="Times New Roman" w:eastAsia="Times New Roman" w:hAnsi="Times New Roman" w:cs="Times New Roman"/>
          <w:sz w:val="24"/>
          <w:szCs w:val="24"/>
          <w:lang w:eastAsia="tr-TR"/>
        </w:rPr>
      </w:pPr>
      <w:r w:rsidRPr="00C97BD2">
        <w:rPr>
          <w:rFonts w:ascii="Times New Roman" w:eastAsia="Times New Roman" w:hAnsi="Times New Roman" w:cs="Times New Roman"/>
          <w:sz w:val="24"/>
          <w:szCs w:val="24"/>
          <w:lang w:eastAsia="tr-TR"/>
        </w:rPr>
        <w:t xml:space="preserve">Yatırımcı bazında takip edilen fon katılma payları ile bu payların içerdiği haklara ilişkin kayıtlar, pay alım satımının gerçekleştirildiği gün (T) fon birim pay fiyatları hesaplandıktan sonra en az bir kez güncellenir. </w:t>
      </w:r>
    </w:p>
    <w:p w:rsidR="004152F5" w:rsidRPr="00C97BD2" w:rsidRDefault="004152F5" w:rsidP="004152F5">
      <w:pPr>
        <w:pStyle w:val="ListParagraph"/>
        <w:shd w:val="clear" w:color="auto" w:fill="FFFFFF"/>
        <w:spacing w:after="240" w:line="240" w:lineRule="auto"/>
        <w:ind w:left="851"/>
        <w:jc w:val="both"/>
        <w:rPr>
          <w:rFonts w:ascii="Times New Roman" w:eastAsia="Times New Roman" w:hAnsi="Times New Roman" w:cs="Times New Roman"/>
          <w:sz w:val="24"/>
          <w:szCs w:val="24"/>
          <w:lang w:eastAsia="tr-TR"/>
        </w:rPr>
      </w:pPr>
    </w:p>
    <w:p w:rsidR="00D41C58" w:rsidRDefault="00D41C58" w:rsidP="0006161B">
      <w:pPr>
        <w:pStyle w:val="ListParagraph"/>
        <w:numPr>
          <w:ilvl w:val="0"/>
          <w:numId w:val="12"/>
        </w:numPr>
        <w:shd w:val="clear" w:color="auto" w:fill="FFFFFF"/>
        <w:spacing w:after="240" w:line="240" w:lineRule="auto"/>
        <w:ind w:left="851"/>
        <w:jc w:val="both"/>
        <w:rPr>
          <w:rFonts w:ascii="Times New Roman" w:eastAsia="Times New Roman" w:hAnsi="Times New Roman" w:cs="Times New Roman"/>
          <w:sz w:val="24"/>
          <w:szCs w:val="24"/>
          <w:lang w:eastAsia="tr-TR"/>
        </w:rPr>
      </w:pPr>
      <w:r w:rsidRPr="00C97BD2">
        <w:rPr>
          <w:rFonts w:ascii="Times New Roman" w:eastAsia="Times New Roman" w:hAnsi="Times New Roman" w:cs="Times New Roman"/>
          <w:sz w:val="24"/>
          <w:szCs w:val="24"/>
          <w:lang w:eastAsia="tr-TR"/>
        </w:rPr>
        <w:t>Birim pay fiyatı hesaplandıktan sonra (mesai saatleri dışında</w:t>
      </w:r>
      <w:r w:rsidRPr="009D534F">
        <w:rPr>
          <w:rFonts w:ascii="Times New Roman" w:eastAsia="Times New Roman" w:hAnsi="Times New Roman" w:cs="Times New Roman"/>
          <w:sz w:val="24"/>
          <w:szCs w:val="24"/>
          <w:lang w:eastAsia="tr-TR"/>
        </w:rPr>
        <w:t xml:space="preserve"> veya tatil günlerinde) yapılan pay alım satım işle</w:t>
      </w:r>
      <w:r>
        <w:rPr>
          <w:rFonts w:ascii="Times New Roman" w:eastAsia="Times New Roman" w:hAnsi="Times New Roman" w:cs="Times New Roman"/>
          <w:sz w:val="24"/>
          <w:szCs w:val="24"/>
          <w:lang w:eastAsia="tr-TR"/>
        </w:rPr>
        <w:t>mle</w:t>
      </w:r>
      <w:r w:rsidRPr="009D534F">
        <w:rPr>
          <w:rFonts w:ascii="Times New Roman" w:eastAsia="Times New Roman" w:hAnsi="Times New Roman" w:cs="Times New Roman"/>
          <w:sz w:val="24"/>
          <w:szCs w:val="24"/>
          <w:lang w:eastAsia="tr-TR"/>
        </w:rPr>
        <w:t>rinin ise takip eden ilk iş günü (T+1) yapılan işlemler gibi kabul edilerek, takip eden ilk iş günü (T+1) gerçekleştirilen diğer alım satım işlemleri ile birlikte MKK sistemine aktarılması gerek</w:t>
      </w:r>
      <w:r>
        <w:rPr>
          <w:rFonts w:ascii="Times New Roman" w:eastAsia="Times New Roman" w:hAnsi="Times New Roman" w:cs="Times New Roman"/>
          <w:sz w:val="24"/>
          <w:szCs w:val="24"/>
          <w:lang w:eastAsia="tr-TR"/>
        </w:rPr>
        <w:t>i</w:t>
      </w:r>
      <w:r w:rsidRPr="009D534F">
        <w:rPr>
          <w:rFonts w:ascii="Times New Roman" w:eastAsia="Times New Roman" w:hAnsi="Times New Roman" w:cs="Times New Roman"/>
          <w:sz w:val="24"/>
          <w:szCs w:val="24"/>
          <w:lang w:eastAsia="tr-TR"/>
        </w:rPr>
        <w:t>r.</w:t>
      </w:r>
    </w:p>
    <w:p w:rsidR="004152F5" w:rsidRPr="009D534F" w:rsidRDefault="004152F5" w:rsidP="004152F5">
      <w:pPr>
        <w:pStyle w:val="ListParagraph"/>
        <w:shd w:val="clear" w:color="auto" w:fill="FFFFFF"/>
        <w:spacing w:after="240" w:line="240" w:lineRule="auto"/>
        <w:ind w:left="851"/>
        <w:jc w:val="both"/>
        <w:rPr>
          <w:rFonts w:ascii="Times New Roman" w:eastAsia="Times New Roman" w:hAnsi="Times New Roman" w:cs="Times New Roman"/>
          <w:sz w:val="24"/>
          <w:szCs w:val="24"/>
          <w:lang w:eastAsia="tr-TR"/>
        </w:rPr>
      </w:pPr>
    </w:p>
    <w:p w:rsidR="00D41C58" w:rsidRDefault="00D41C58" w:rsidP="0006161B">
      <w:pPr>
        <w:pStyle w:val="ListParagraph"/>
        <w:numPr>
          <w:ilvl w:val="0"/>
          <w:numId w:val="12"/>
        </w:numPr>
        <w:shd w:val="clear" w:color="auto" w:fill="FFFFFF"/>
        <w:spacing w:after="240" w:line="240" w:lineRule="auto"/>
        <w:ind w:left="851"/>
        <w:jc w:val="both"/>
        <w:rPr>
          <w:rFonts w:ascii="Times New Roman" w:eastAsia="Times New Roman" w:hAnsi="Times New Roman" w:cs="Times New Roman"/>
          <w:sz w:val="24"/>
          <w:szCs w:val="24"/>
          <w:lang w:eastAsia="tr-TR"/>
        </w:rPr>
      </w:pPr>
      <w:r w:rsidRPr="009D534F">
        <w:rPr>
          <w:rFonts w:ascii="Times New Roman" w:eastAsia="Times New Roman" w:hAnsi="Times New Roman" w:cs="Times New Roman"/>
          <w:sz w:val="24"/>
          <w:szCs w:val="24"/>
          <w:lang w:eastAsia="tr-TR"/>
        </w:rPr>
        <w:t xml:space="preserve">Yukarıda belirtilen güncelleme şartlarına uygun hareket edilmesi kaydıyla, </w:t>
      </w:r>
      <w:r>
        <w:rPr>
          <w:rFonts w:ascii="Times New Roman" w:eastAsia="Times New Roman" w:hAnsi="Times New Roman" w:cs="Times New Roman"/>
          <w:sz w:val="24"/>
          <w:szCs w:val="24"/>
          <w:lang w:eastAsia="tr-TR"/>
        </w:rPr>
        <w:t>yatırım kuruluşları</w:t>
      </w:r>
      <w:r w:rsidRPr="009D534F">
        <w:rPr>
          <w:rFonts w:ascii="Times New Roman" w:eastAsia="Times New Roman" w:hAnsi="Times New Roman" w:cs="Times New Roman"/>
          <w:sz w:val="24"/>
          <w:szCs w:val="24"/>
          <w:lang w:eastAsia="tr-TR"/>
        </w:rPr>
        <w:t xml:space="preserve"> tarafından pay satımının gerçekleştirildiği gün sicili herhangi bir nedenden dolayı oluşturulamayan yatırımcılara ait </w:t>
      </w:r>
      <w:r>
        <w:rPr>
          <w:rFonts w:ascii="Times New Roman" w:eastAsia="Times New Roman" w:hAnsi="Times New Roman" w:cs="Times New Roman"/>
          <w:sz w:val="24"/>
          <w:szCs w:val="24"/>
          <w:lang w:eastAsia="tr-TR"/>
        </w:rPr>
        <w:t>katılma</w:t>
      </w:r>
      <w:r w:rsidRPr="009D534F">
        <w:rPr>
          <w:rFonts w:ascii="Times New Roman" w:eastAsia="Times New Roman" w:hAnsi="Times New Roman" w:cs="Times New Roman"/>
          <w:sz w:val="24"/>
          <w:szCs w:val="24"/>
          <w:lang w:eastAsia="tr-TR"/>
        </w:rPr>
        <w:t xml:space="preserve"> payları toplu bir hesapta MKK sistemine aktarılı</w:t>
      </w:r>
      <w:r>
        <w:rPr>
          <w:rFonts w:ascii="Times New Roman" w:eastAsia="Times New Roman" w:hAnsi="Times New Roman" w:cs="Times New Roman"/>
          <w:sz w:val="24"/>
          <w:szCs w:val="24"/>
          <w:lang w:eastAsia="tr-TR"/>
        </w:rPr>
        <w:t>r</w:t>
      </w:r>
      <w:r w:rsidRPr="009D534F">
        <w:rPr>
          <w:rFonts w:ascii="Times New Roman" w:eastAsia="Times New Roman" w:hAnsi="Times New Roman" w:cs="Times New Roman"/>
          <w:sz w:val="24"/>
          <w:szCs w:val="24"/>
          <w:lang w:eastAsia="tr-TR"/>
        </w:rPr>
        <w:t xml:space="preserve"> ve bu yatırımcılara ilişkin MKK sicilleri en geç </w:t>
      </w:r>
      <w:r>
        <w:rPr>
          <w:rFonts w:ascii="Times New Roman" w:eastAsia="Times New Roman" w:hAnsi="Times New Roman" w:cs="Times New Roman"/>
          <w:sz w:val="24"/>
          <w:szCs w:val="24"/>
          <w:lang w:eastAsia="tr-TR"/>
        </w:rPr>
        <w:t>takip eden ilk iş günü (</w:t>
      </w:r>
      <w:r w:rsidRPr="009D534F">
        <w:rPr>
          <w:rFonts w:ascii="Times New Roman" w:eastAsia="Times New Roman" w:hAnsi="Times New Roman" w:cs="Times New Roman"/>
          <w:sz w:val="24"/>
          <w:szCs w:val="24"/>
          <w:lang w:eastAsia="tr-TR"/>
        </w:rPr>
        <w:t>T+1</w:t>
      </w:r>
      <w:r>
        <w:rPr>
          <w:rFonts w:ascii="Times New Roman" w:eastAsia="Times New Roman" w:hAnsi="Times New Roman" w:cs="Times New Roman"/>
          <w:sz w:val="24"/>
          <w:szCs w:val="24"/>
          <w:lang w:eastAsia="tr-TR"/>
        </w:rPr>
        <w:t>)</w:t>
      </w:r>
      <w:r w:rsidRPr="009D534F">
        <w:rPr>
          <w:rFonts w:ascii="Times New Roman" w:eastAsia="Times New Roman" w:hAnsi="Times New Roman" w:cs="Times New Roman"/>
          <w:sz w:val="24"/>
          <w:szCs w:val="24"/>
          <w:lang w:eastAsia="tr-TR"/>
        </w:rPr>
        <w:t xml:space="preserve"> oluşturu</w:t>
      </w:r>
      <w:r>
        <w:rPr>
          <w:rFonts w:ascii="Times New Roman" w:eastAsia="Times New Roman" w:hAnsi="Times New Roman" w:cs="Times New Roman"/>
          <w:sz w:val="24"/>
          <w:szCs w:val="24"/>
          <w:lang w:eastAsia="tr-TR"/>
        </w:rPr>
        <w:t>lu</w:t>
      </w:r>
      <w:r w:rsidRPr="009D534F">
        <w:rPr>
          <w:rFonts w:ascii="Times New Roman" w:eastAsia="Times New Roman" w:hAnsi="Times New Roman" w:cs="Times New Roman"/>
          <w:sz w:val="24"/>
          <w:szCs w:val="24"/>
          <w:lang w:eastAsia="tr-TR"/>
        </w:rPr>
        <w:t>r.</w:t>
      </w:r>
    </w:p>
    <w:p w:rsidR="00D41C58" w:rsidRPr="00490978" w:rsidRDefault="00A30A8D" w:rsidP="005845F8">
      <w:pPr>
        <w:pStyle w:val="Heading2"/>
        <w:rPr>
          <w:rFonts w:eastAsia="Times New Roman"/>
          <w:lang w:eastAsia="tr-TR"/>
        </w:rPr>
      </w:pPr>
      <w:bookmarkStart w:id="270" w:name="_Toc130312616"/>
      <w:bookmarkStart w:id="271" w:name="_Toc130312749"/>
      <w:r>
        <w:rPr>
          <w:bCs/>
        </w:rPr>
        <w:t>8</w:t>
      </w:r>
      <w:r w:rsidR="00D41C58">
        <w:rPr>
          <w:bCs/>
        </w:rPr>
        <w:t>.</w:t>
      </w:r>
      <w:r w:rsidR="00D86610">
        <w:rPr>
          <w:bCs/>
        </w:rPr>
        <w:t>2</w:t>
      </w:r>
      <w:r w:rsidR="00D41C58" w:rsidRPr="009D534F">
        <w:rPr>
          <w:bCs/>
        </w:rPr>
        <w:t>.</w:t>
      </w:r>
      <w:r w:rsidR="00E550F4">
        <w:rPr>
          <w:bCs/>
        </w:rPr>
        <w:t xml:space="preserve"> </w:t>
      </w:r>
      <w:r w:rsidR="000E34E5">
        <w:rPr>
          <w:rFonts w:eastAsia="Times New Roman"/>
          <w:lang w:eastAsia="tr-TR"/>
        </w:rPr>
        <w:t>Koruma A</w:t>
      </w:r>
      <w:r w:rsidR="00D41C58" w:rsidRPr="009D534F">
        <w:rPr>
          <w:rFonts w:eastAsia="Times New Roman"/>
          <w:lang w:eastAsia="tr-TR"/>
        </w:rPr>
        <w:t xml:space="preserve">maçlı ve </w:t>
      </w:r>
      <w:r w:rsidR="000E34E5" w:rsidRPr="00490978">
        <w:rPr>
          <w:rFonts w:eastAsia="Times New Roman"/>
          <w:lang w:eastAsia="tr-TR"/>
        </w:rPr>
        <w:t>G</w:t>
      </w:r>
      <w:r w:rsidR="00D41C58" w:rsidRPr="00490978">
        <w:rPr>
          <w:rFonts w:eastAsia="Times New Roman"/>
          <w:lang w:eastAsia="tr-TR"/>
        </w:rPr>
        <w:t>arantili</w:t>
      </w:r>
      <w:r w:rsidR="000E34E5" w:rsidRPr="00490978">
        <w:rPr>
          <w:rFonts w:eastAsia="Times New Roman"/>
          <w:lang w:eastAsia="tr-TR"/>
        </w:rPr>
        <w:t xml:space="preserve"> F</w:t>
      </w:r>
      <w:r w:rsidR="00DD55FA">
        <w:rPr>
          <w:rFonts w:eastAsia="Times New Roman"/>
          <w:lang w:eastAsia="tr-TR"/>
        </w:rPr>
        <w:t>onların</w:t>
      </w:r>
      <w:r w:rsidR="0014446D">
        <w:rPr>
          <w:rFonts w:eastAsia="Times New Roman"/>
          <w:lang w:eastAsia="tr-TR"/>
        </w:rPr>
        <w:t xml:space="preserve"> </w:t>
      </w:r>
      <w:r w:rsidR="000E34E5" w:rsidRPr="00490978">
        <w:rPr>
          <w:rFonts w:eastAsia="Times New Roman"/>
          <w:lang w:eastAsia="tr-TR"/>
        </w:rPr>
        <w:t>P</w:t>
      </w:r>
      <w:r w:rsidR="00D41C58" w:rsidRPr="00490978">
        <w:rPr>
          <w:rFonts w:eastAsia="Times New Roman"/>
          <w:lang w:eastAsia="tr-TR"/>
        </w:rPr>
        <w:t>ortföyünden</w:t>
      </w:r>
      <w:r w:rsidR="000E34E5" w:rsidRPr="00490978">
        <w:rPr>
          <w:rFonts w:eastAsia="Times New Roman"/>
          <w:lang w:eastAsia="tr-TR"/>
        </w:rPr>
        <w:t xml:space="preserve"> Ayrılan K</w:t>
      </w:r>
      <w:r w:rsidR="00D41C58" w:rsidRPr="00490978">
        <w:rPr>
          <w:rFonts w:eastAsia="Times New Roman"/>
          <w:lang w:eastAsia="tr-TR"/>
        </w:rPr>
        <w:t>arşılıklar</w:t>
      </w:r>
      <w:bookmarkEnd w:id="270"/>
      <w:bookmarkEnd w:id="271"/>
    </w:p>
    <w:p w:rsidR="00DD55FA" w:rsidRDefault="00DD55FA" w:rsidP="005845F8">
      <w:pPr>
        <w:spacing w:after="240" w:line="240" w:lineRule="auto"/>
        <w:ind w:firstLine="708"/>
        <w:jc w:val="both"/>
        <w:rPr>
          <w:rFonts w:ascii="Times New Roman" w:eastAsia="Times New Roman" w:hAnsi="Times New Roman" w:cs="Times New Roman"/>
          <w:sz w:val="24"/>
          <w:szCs w:val="24"/>
          <w:lang w:eastAsia="tr-TR"/>
        </w:rPr>
      </w:pPr>
    </w:p>
    <w:p w:rsidR="00D41C58" w:rsidRPr="009D534F" w:rsidRDefault="00D41C58" w:rsidP="005845F8">
      <w:pPr>
        <w:spacing w:after="240" w:line="240" w:lineRule="auto"/>
        <w:ind w:firstLine="708"/>
        <w:jc w:val="both"/>
        <w:rPr>
          <w:rFonts w:ascii="Times New Roman" w:eastAsia="Times New Roman" w:hAnsi="Times New Roman" w:cs="Times New Roman"/>
          <w:sz w:val="24"/>
          <w:szCs w:val="24"/>
          <w:lang w:eastAsia="tr-TR"/>
        </w:rPr>
      </w:pPr>
      <w:r w:rsidRPr="00490978">
        <w:rPr>
          <w:rFonts w:ascii="Times New Roman" w:eastAsia="Times New Roman" w:hAnsi="Times New Roman" w:cs="Times New Roman"/>
          <w:sz w:val="24"/>
          <w:szCs w:val="24"/>
          <w:lang w:eastAsia="tr-TR"/>
        </w:rPr>
        <w:t>Koruma amaçlı ve garantili</w:t>
      </w:r>
      <w:r w:rsidRPr="009D534F">
        <w:rPr>
          <w:rFonts w:ascii="Times New Roman" w:eastAsia="Times New Roman" w:hAnsi="Times New Roman" w:cs="Times New Roman"/>
          <w:sz w:val="24"/>
          <w:szCs w:val="24"/>
          <w:lang w:eastAsia="tr-TR"/>
        </w:rPr>
        <w:t xml:space="preserve"> fonlar</w:t>
      </w:r>
      <w:r>
        <w:rPr>
          <w:rFonts w:ascii="Times New Roman" w:eastAsia="Times New Roman" w:hAnsi="Times New Roman" w:cs="Times New Roman"/>
          <w:sz w:val="24"/>
          <w:szCs w:val="24"/>
          <w:lang w:eastAsia="tr-TR"/>
        </w:rPr>
        <w:t>a ilişkin olarak;</w:t>
      </w:r>
    </w:p>
    <w:p w:rsidR="00D41C58" w:rsidRDefault="00D41C58" w:rsidP="0006161B">
      <w:pPr>
        <w:pStyle w:val="ListParagraph"/>
        <w:numPr>
          <w:ilvl w:val="0"/>
          <w:numId w:val="7"/>
        </w:numPr>
        <w:spacing w:after="24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Fon portföyünden</w:t>
      </w:r>
      <w:r w:rsidRPr="009D534F">
        <w:rPr>
          <w:rFonts w:ascii="Times New Roman" w:eastAsia="Times New Roman" w:hAnsi="Times New Roman" w:cs="Times New Roman"/>
          <w:sz w:val="24"/>
          <w:szCs w:val="24"/>
          <w:lang w:eastAsia="tr-TR"/>
        </w:rPr>
        <w:t xml:space="preserve"> ihtiyaten ayrılan karşılıkları</w:t>
      </w:r>
      <w:r>
        <w:rPr>
          <w:rFonts w:ascii="Times New Roman" w:eastAsia="Times New Roman" w:hAnsi="Times New Roman" w:cs="Times New Roman"/>
          <w:sz w:val="24"/>
          <w:szCs w:val="24"/>
          <w:lang w:eastAsia="tr-TR"/>
        </w:rPr>
        <w:t>n</w:t>
      </w:r>
      <w:r w:rsidRPr="009D534F">
        <w:rPr>
          <w:rFonts w:ascii="Times New Roman" w:eastAsia="Times New Roman" w:hAnsi="Times New Roman" w:cs="Times New Roman"/>
          <w:sz w:val="24"/>
          <w:szCs w:val="24"/>
          <w:lang w:eastAsia="tr-TR"/>
        </w:rPr>
        <w:t xml:space="preserve">, daha önce benzer fonlar için yapılan giderler </w:t>
      </w:r>
      <w:r>
        <w:rPr>
          <w:rFonts w:ascii="Times New Roman" w:eastAsia="Times New Roman" w:hAnsi="Times New Roman" w:cs="Times New Roman"/>
          <w:sz w:val="24"/>
          <w:szCs w:val="24"/>
          <w:lang w:eastAsia="tr-TR"/>
        </w:rPr>
        <w:t>dikkate alınarak</w:t>
      </w:r>
      <w:r w:rsidRPr="009D534F">
        <w:rPr>
          <w:rFonts w:ascii="Times New Roman" w:eastAsia="Times New Roman" w:hAnsi="Times New Roman" w:cs="Times New Roman"/>
          <w:sz w:val="24"/>
          <w:szCs w:val="24"/>
          <w:lang w:eastAsia="tr-TR"/>
        </w:rPr>
        <w:t xml:space="preserve"> uygun tutarlarda </w:t>
      </w:r>
      <w:r>
        <w:rPr>
          <w:rFonts w:ascii="Times New Roman" w:eastAsia="Times New Roman" w:hAnsi="Times New Roman" w:cs="Times New Roman"/>
          <w:sz w:val="24"/>
          <w:szCs w:val="24"/>
          <w:lang w:eastAsia="tr-TR"/>
        </w:rPr>
        <w:t>belirlenmesi</w:t>
      </w:r>
      <w:r w:rsidRPr="009D534F">
        <w:rPr>
          <w:rFonts w:ascii="Times New Roman" w:eastAsia="Times New Roman" w:hAnsi="Times New Roman" w:cs="Times New Roman"/>
          <w:sz w:val="24"/>
          <w:szCs w:val="24"/>
          <w:lang w:eastAsia="tr-TR"/>
        </w:rPr>
        <w:t xml:space="preserve"> için azami özen gösterilir.</w:t>
      </w:r>
    </w:p>
    <w:p w:rsidR="004152F5" w:rsidRPr="009D534F" w:rsidRDefault="004152F5" w:rsidP="004152F5">
      <w:pPr>
        <w:pStyle w:val="ListParagraph"/>
        <w:spacing w:after="240" w:line="240" w:lineRule="auto"/>
        <w:ind w:left="1070"/>
        <w:jc w:val="both"/>
        <w:rPr>
          <w:rFonts w:ascii="Times New Roman" w:eastAsia="Times New Roman" w:hAnsi="Times New Roman" w:cs="Times New Roman"/>
          <w:sz w:val="24"/>
          <w:szCs w:val="24"/>
          <w:lang w:eastAsia="tr-TR"/>
        </w:rPr>
      </w:pPr>
    </w:p>
    <w:p w:rsidR="00D41C58" w:rsidRPr="009D534F" w:rsidRDefault="00D41C58" w:rsidP="0006161B">
      <w:pPr>
        <w:pStyle w:val="ListParagraph"/>
        <w:numPr>
          <w:ilvl w:val="0"/>
          <w:numId w:val="7"/>
        </w:numPr>
        <w:spacing w:after="240" w:line="240" w:lineRule="auto"/>
        <w:jc w:val="both"/>
        <w:rPr>
          <w:rFonts w:ascii="Times New Roman" w:eastAsia="Times New Roman" w:hAnsi="Times New Roman" w:cs="Times New Roman"/>
          <w:sz w:val="24"/>
          <w:szCs w:val="24"/>
          <w:lang w:eastAsia="tr-TR"/>
        </w:rPr>
      </w:pPr>
      <w:r w:rsidRPr="009D534F">
        <w:rPr>
          <w:rFonts w:ascii="Times New Roman" w:eastAsia="Times New Roman" w:hAnsi="Times New Roman" w:cs="Times New Roman"/>
          <w:sz w:val="24"/>
          <w:szCs w:val="24"/>
          <w:lang w:eastAsia="tr-TR"/>
        </w:rPr>
        <w:t>Karşılık olarak ayrılan gider tutarının gerçekleşen giderlerden fazla olması halinde, fazla kıs</w:t>
      </w:r>
      <w:r>
        <w:rPr>
          <w:rFonts w:ascii="Times New Roman" w:eastAsia="Times New Roman" w:hAnsi="Times New Roman" w:cs="Times New Roman"/>
          <w:sz w:val="24"/>
          <w:szCs w:val="24"/>
          <w:lang w:eastAsia="tr-TR"/>
        </w:rPr>
        <w:t>ım</w:t>
      </w:r>
      <w:r w:rsidRPr="009D534F">
        <w:rPr>
          <w:rFonts w:ascii="Times New Roman" w:eastAsia="Times New Roman" w:hAnsi="Times New Roman" w:cs="Times New Roman"/>
          <w:sz w:val="24"/>
          <w:szCs w:val="24"/>
          <w:lang w:eastAsia="tr-TR"/>
        </w:rPr>
        <w:t xml:space="preserve"> fonun son fiyat açıklama tarihinde</w:t>
      </w:r>
      <w:r w:rsidR="00356C79">
        <w:rPr>
          <w:rFonts w:ascii="Times New Roman" w:eastAsia="Times New Roman" w:hAnsi="Times New Roman" w:cs="Times New Roman"/>
          <w:sz w:val="24"/>
          <w:szCs w:val="24"/>
          <w:lang w:eastAsia="tr-TR"/>
        </w:rPr>
        <w:t>ki fon</w:t>
      </w:r>
      <w:r w:rsidRPr="009D534F">
        <w:rPr>
          <w:rFonts w:ascii="Times New Roman" w:eastAsia="Times New Roman" w:hAnsi="Times New Roman" w:cs="Times New Roman"/>
          <w:sz w:val="24"/>
          <w:szCs w:val="24"/>
          <w:lang w:eastAsia="tr-TR"/>
        </w:rPr>
        <w:t xml:space="preserve"> yatırımcılar</w:t>
      </w:r>
      <w:r w:rsidR="00356C79">
        <w:rPr>
          <w:rFonts w:ascii="Times New Roman" w:eastAsia="Times New Roman" w:hAnsi="Times New Roman" w:cs="Times New Roman"/>
          <w:sz w:val="24"/>
          <w:szCs w:val="24"/>
          <w:lang w:eastAsia="tr-TR"/>
        </w:rPr>
        <w:t>ın</w:t>
      </w:r>
      <w:r w:rsidRPr="009D534F">
        <w:rPr>
          <w:rFonts w:ascii="Times New Roman" w:eastAsia="Times New Roman" w:hAnsi="Times New Roman" w:cs="Times New Roman"/>
          <w:sz w:val="24"/>
          <w:szCs w:val="24"/>
          <w:lang w:eastAsia="tr-TR"/>
        </w:rPr>
        <w:t>a ödenir.</w:t>
      </w:r>
    </w:p>
    <w:p w:rsidR="00D41C58" w:rsidRPr="009D534F" w:rsidRDefault="00A30A8D" w:rsidP="00686430">
      <w:pPr>
        <w:pStyle w:val="Heading2"/>
      </w:pPr>
      <w:bookmarkStart w:id="272" w:name="_Toc130312617"/>
      <w:bookmarkStart w:id="273" w:name="_Toc130312750"/>
      <w:r w:rsidRPr="00DD55FA">
        <w:rPr>
          <w:bCs/>
        </w:rPr>
        <w:t>8</w:t>
      </w:r>
      <w:r w:rsidR="00D41C58" w:rsidRPr="00DD55FA">
        <w:rPr>
          <w:bCs/>
        </w:rPr>
        <w:t>.</w:t>
      </w:r>
      <w:r w:rsidR="00D86610">
        <w:rPr>
          <w:bCs/>
        </w:rPr>
        <w:t>3</w:t>
      </w:r>
      <w:r w:rsidR="00D41C58" w:rsidRPr="00DD55FA">
        <w:rPr>
          <w:bCs/>
        </w:rPr>
        <w:t>.</w:t>
      </w:r>
      <w:r w:rsidR="00925E01">
        <w:rPr>
          <w:bCs/>
        </w:rPr>
        <w:t xml:space="preserve"> </w:t>
      </w:r>
      <w:r w:rsidR="00D41C58" w:rsidRPr="00A701CD">
        <w:t>Fon Giderlerinin Kurucular Tarafından Karşılanması</w:t>
      </w:r>
      <w:bookmarkEnd w:id="272"/>
      <w:bookmarkEnd w:id="273"/>
    </w:p>
    <w:p w:rsidR="00DD55FA" w:rsidRDefault="00DD55FA" w:rsidP="00D41C58">
      <w:pPr>
        <w:spacing w:line="276" w:lineRule="auto"/>
        <w:ind w:firstLine="567"/>
        <w:jc w:val="both"/>
        <w:rPr>
          <w:rFonts w:ascii="Times New Roman" w:hAnsi="Times New Roman" w:cs="Times New Roman"/>
          <w:sz w:val="24"/>
          <w:szCs w:val="24"/>
        </w:rPr>
      </w:pPr>
    </w:p>
    <w:p w:rsidR="00D41C58" w:rsidRPr="009D534F" w:rsidRDefault="00D41C58" w:rsidP="00D41C58">
      <w:pPr>
        <w:spacing w:line="276" w:lineRule="auto"/>
        <w:ind w:firstLine="567"/>
        <w:jc w:val="both"/>
        <w:rPr>
          <w:rFonts w:ascii="Times New Roman" w:hAnsi="Times New Roman" w:cs="Times New Roman"/>
          <w:sz w:val="24"/>
          <w:szCs w:val="24"/>
        </w:rPr>
      </w:pPr>
      <w:r w:rsidRPr="009D534F">
        <w:rPr>
          <w:rFonts w:ascii="Times New Roman" w:hAnsi="Times New Roman" w:cs="Times New Roman"/>
          <w:sz w:val="24"/>
          <w:szCs w:val="24"/>
        </w:rPr>
        <w:t>Fon giderlerinin kurucular tarafından karşılanmasın</w:t>
      </w:r>
      <w:r>
        <w:rPr>
          <w:rFonts w:ascii="Times New Roman" w:hAnsi="Times New Roman" w:cs="Times New Roman"/>
          <w:sz w:val="24"/>
          <w:szCs w:val="24"/>
        </w:rPr>
        <w:t>d</w:t>
      </w:r>
      <w:r w:rsidRPr="009D534F">
        <w:rPr>
          <w:rFonts w:ascii="Times New Roman" w:hAnsi="Times New Roman" w:cs="Times New Roman"/>
          <w:sz w:val="24"/>
          <w:szCs w:val="24"/>
        </w:rPr>
        <w:t xml:space="preserve">a </w:t>
      </w:r>
      <w:r>
        <w:rPr>
          <w:rFonts w:ascii="Times New Roman" w:hAnsi="Times New Roman" w:cs="Times New Roman"/>
          <w:sz w:val="24"/>
          <w:szCs w:val="24"/>
        </w:rPr>
        <w:t>aşağıda yer verilen</w:t>
      </w:r>
      <w:r w:rsidRPr="009D534F">
        <w:rPr>
          <w:rFonts w:ascii="Times New Roman" w:hAnsi="Times New Roman" w:cs="Times New Roman"/>
          <w:sz w:val="24"/>
          <w:szCs w:val="24"/>
        </w:rPr>
        <w:t xml:space="preserve"> esaslar</w:t>
      </w:r>
      <w:r>
        <w:rPr>
          <w:rFonts w:ascii="Times New Roman" w:hAnsi="Times New Roman" w:cs="Times New Roman"/>
          <w:sz w:val="24"/>
          <w:szCs w:val="24"/>
        </w:rPr>
        <w:t xml:space="preserve"> uygulanır</w:t>
      </w:r>
      <w:r w:rsidR="00356C79">
        <w:rPr>
          <w:rFonts w:ascii="Times New Roman" w:hAnsi="Times New Roman" w:cs="Times New Roman"/>
          <w:sz w:val="24"/>
          <w:szCs w:val="24"/>
        </w:rPr>
        <w:t>:</w:t>
      </w:r>
    </w:p>
    <w:p w:rsidR="00D41C58" w:rsidRDefault="00D41C58" w:rsidP="0006161B">
      <w:pPr>
        <w:pStyle w:val="ListParagraph"/>
        <w:numPr>
          <w:ilvl w:val="0"/>
          <w:numId w:val="62"/>
        </w:numPr>
        <w:spacing w:after="240" w:line="240" w:lineRule="auto"/>
        <w:jc w:val="both"/>
        <w:rPr>
          <w:rFonts w:ascii="Times New Roman" w:eastAsia="Times New Roman" w:hAnsi="Times New Roman" w:cs="Times New Roman"/>
          <w:sz w:val="24"/>
          <w:szCs w:val="24"/>
          <w:lang w:eastAsia="tr-TR"/>
        </w:rPr>
      </w:pPr>
      <w:r w:rsidRPr="00CE5BAA">
        <w:rPr>
          <w:rFonts w:ascii="Times New Roman" w:eastAsia="Times New Roman" w:hAnsi="Times New Roman" w:cs="Times New Roman"/>
          <w:sz w:val="24"/>
          <w:szCs w:val="24"/>
          <w:lang w:eastAsia="tr-TR"/>
        </w:rPr>
        <w:t>Fon giderlerinde karşılaştırılabilirliğin sağlanması amacıyla fonlara ilişkin tüm giderler (kurucular tarafından karşılananlar dahil</w:t>
      </w:r>
      <w:r w:rsidR="0008785A" w:rsidRPr="00002528">
        <w:rPr>
          <w:vertAlign w:val="superscript"/>
        </w:rPr>
        <w:footnoteReference w:id="21"/>
      </w:r>
      <w:r w:rsidRPr="00CE5BAA">
        <w:rPr>
          <w:rFonts w:ascii="Times New Roman" w:eastAsia="Times New Roman" w:hAnsi="Times New Roman" w:cs="Times New Roman"/>
          <w:sz w:val="24"/>
          <w:szCs w:val="24"/>
          <w:lang w:eastAsia="tr-TR"/>
        </w:rPr>
        <w:t>) fon muhasebe sistemine aktarılır.</w:t>
      </w:r>
    </w:p>
    <w:p w:rsidR="004152F5" w:rsidRPr="00CE5BAA" w:rsidRDefault="004152F5" w:rsidP="004152F5">
      <w:pPr>
        <w:pStyle w:val="ListParagraph"/>
        <w:spacing w:after="240" w:line="240" w:lineRule="auto"/>
        <w:ind w:left="1070"/>
        <w:jc w:val="both"/>
        <w:rPr>
          <w:rFonts w:ascii="Times New Roman" w:eastAsia="Times New Roman" w:hAnsi="Times New Roman" w:cs="Times New Roman"/>
          <w:sz w:val="24"/>
          <w:szCs w:val="24"/>
          <w:lang w:eastAsia="tr-TR"/>
        </w:rPr>
      </w:pPr>
    </w:p>
    <w:p w:rsidR="00D41C58" w:rsidRDefault="00D41C58" w:rsidP="0006161B">
      <w:pPr>
        <w:pStyle w:val="ListParagraph"/>
        <w:numPr>
          <w:ilvl w:val="0"/>
          <w:numId w:val="62"/>
        </w:numPr>
        <w:spacing w:after="240" w:line="240" w:lineRule="auto"/>
        <w:jc w:val="both"/>
        <w:rPr>
          <w:rFonts w:ascii="Times New Roman" w:eastAsia="Times New Roman" w:hAnsi="Times New Roman" w:cs="Times New Roman"/>
          <w:sz w:val="24"/>
          <w:szCs w:val="24"/>
          <w:lang w:eastAsia="tr-TR"/>
        </w:rPr>
      </w:pPr>
      <w:r w:rsidRPr="00CE5BAA">
        <w:rPr>
          <w:rFonts w:ascii="Times New Roman" w:eastAsia="Times New Roman" w:hAnsi="Times New Roman" w:cs="Times New Roman"/>
          <w:sz w:val="24"/>
          <w:szCs w:val="24"/>
          <w:lang w:eastAsia="tr-TR"/>
        </w:rPr>
        <w:t>Fon giderlerinin kurucu tarafından karşılandığı durumlarda, bu giderler hesap işletim giderleri, komisyon gibi muhtelif adlar altında dolaylı olarak yatırımcılara yansıtılamaz.</w:t>
      </w:r>
    </w:p>
    <w:p w:rsidR="004152F5" w:rsidRPr="00CE5BAA" w:rsidRDefault="004152F5" w:rsidP="004152F5">
      <w:pPr>
        <w:pStyle w:val="ListParagraph"/>
        <w:spacing w:after="240" w:line="240" w:lineRule="auto"/>
        <w:ind w:left="1070"/>
        <w:jc w:val="both"/>
        <w:rPr>
          <w:rFonts w:ascii="Times New Roman" w:eastAsia="Times New Roman" w:hAnsi="Times New Roman" w:cs="Times New Roman"/>
          <w:sz w:val="24"/>
          <w:szCs w:val="24"/>
          <w:lang w:eastAsia="tr-TR"/>
        </w:rPr>
      </w:pPr>
    </w:p>
    <w:p w:rsidR="00D41C58" w:rsidRPr="00CE5BAA" w:rsidRDefault="00D41C58" w:rsidP="0006161B">
      <w:pPr>
        <w:pStyle w:val="ListParagraph"/>
        <w:numPr>
          <w:ilvl w:val="0"/>
          <w:numId w:val="62"/>
        </w:numPr>
        <w:spacing w:after="240" w:line="240" w:lineRule="auto"/>
        <w:jc w:val="both"/>
        <w:rPr>
          <w:rFonts w:ascii="Times New Roman" w:eastAsia="Times New Roman" w:hAnsi="Times New Roman" w:cs="Times New Roman"/>
          <w:sz w:val="24"/>
          <w:szCs w:val="24"/>
          <w:lang w:eastAsia="tr-TR"/>
        </w:rPr>
      </w:pPr>
      <w:r w:rsidRPr="00CE5BAA">
        <w:rPr>
          <w:rFonts w:ascii="Times New Roman" w:eastAsia="Times New Roman" w:hAnsi="Times New Roman" w:cs="Times New Roman"/>
          <w:sz w:val="24"/>
          <w:szCs w:val="24"/>
          <w:lang w:eastAsia="tr-TR"/>
        </w:rPr>
        <w:t xml:space="preserve">Yatırım fonlarının performans sunuş raporlarında, alım satıma esas olan fon fiyatına göre hesaplanan fon getirilerine ek olarak, brüt fon getirilerine (toplam giderlerden kurucu tarafından karşılanan giderler düşülerek bulunan brüt fon getirileri) </w:t>
      </w:r>
      <w:r w:rsidR="00E23D79" w:rsidRPr="009E05DF">
        <w:rPr>
          <w:rFonts w:ascii="Times New Roman" w:eastAsia="Times New Roman" w:hAnsi="Times New Roman" w:cs="Times New Roman"/>
          <w:b/>
          <w:sz w:val="24"/>
          <w:szCs w:val="24"/>
          <w:lang w:eastAsia="tr-TR"/>
        </w:rPr>
        <w:t>Ek/</w:t>
      </w:r>
      <w:r w:rsidR="0014446D">
        <w:rPr>
          <w:rFonts w:ascii="Times New Roman" w:eastAsia="Times New Roman" w:hAnsi="Times New Roman" w:cs="Times New Roman"/>
          <w:b/>
          <w:sz w:val="24"/>
          <w:szCs w:val="24"/>
          <w:lang w:eastAsia="tr-TR"/>
        </w:rPr>
        <w:t>2</w:t>
      </w:r>
      <w:r w:rsidRPr="00CE5BAA">
        <w:rPr>
          <w:rFonts w:ascii="Times New Roman" w:eastAsia="Times New Roman" w:hAnsi="Times New Roman" w:cs="Times New Roman"/>
          <w:sz w:val="24"/>
          <w:szCs w:val="24"/>
          <w:lang w:eastAsia="tr-TR"/>
        </w:rPr>
        <w:t>’</w:t>
      </w:r>
      <w:r w:rsidR="0014446D">
        <w:rPr>
          <w:rFonts w:ascii="Times New Roman" w:eastAsia="Times New Roman" w:hAnsi="Times New Roman" w:cs="Times New Roman"/>
          <w:sz w:val="24"/>
          <w:szCs w:val="24"/>
          <w:lang w:eastAsia="tr-TR"/>
        </w:rPr>
        <w:t>d</w:t>
      </w:r>
      <w:r w:rsidRPr="00CE5BAA">
        <w:rPr>
          <w:rFonts w:ascii="Times New Roman" w:eastAsia="Times New Roman" w:hAnsi="Times New Roman" w:cs="Times New Roman"/>
          <w:sz w:val="24"/>
          <w:szCs w:val="24"/>
          <w:lang w:eastAsia="tr-TR"/>
        </w:rPr>
        <w:t xml:space="preserve">eki örnek hesaplama esas alınarak yer verilir. </w:t>
      </w:r>
    </w:p>
    <w:p w:rsidR="00DD55FA" w:rsidRDefault="00DD55FA" w:rsidP="004152F5">
      <w:pPr>
        <w:pStyle w:val="Heading2"/>
        <w:spacing w:after="240"/>
        <w:jc w:val="both"/>
        <w:rPr>
          <w:lang w:eastAsia="tr-TR"/>
        </w:rPr>
      </w:pPr>
      <w:bookmarkStart w:id="274" w:name="_Toc130312618"/>
      <w:bookmarkStart w:id="275" w:name="_Toc130312751"/>
      <w:r>
        <w:rPr>
          <w:bCs/>
        </w:rPr>
        <w:t>8.</w:t>
      </w:r>
      <w:r w:rsidR="00D86610">
        <w:rPr>
          <w:bCs/>
        </w:rPr>
        <w:t>4</w:t>
      </w:r>
      <w:r w:rsidRPr="009D534F">
        <w:rPr>
          <w:bCs/>
        </w:rPr>
        <w:t xml:space="preserve">. </w:t>
      </w:r>
      <w:r>
        <w:rPr>
          <w:lang w:eastAsia="tr-TR"/>
        </w:rPr>
        <w:t>Korumalı Amaçlı, Garantili Fonlar ile Serbest Fonların İ</w:t>
      </w:r>
      <w:r w:rsidRPr="009D534F">
        <w:rPr>
          <w:lang w:eastAsia="tr-TR"/>
        </w:rPr>
        <w:t xml:space="preserve">statistiki </w:t>
      </w:r>
      <w:r>
        <w:rPr>
          <w:lang w:eastAsia="tr-TR"/>
        </w:rPr>
        <w:t>V</w:t>
      </w:r>
      <w:r w:rsidRPr="009D534F">
        <w:rPr>
          <w:lang w:eastAsia="tr-TR"/>
        </w:rPr>
        <w:t>erilerin</w:t>
      </w:r>
      <w:r>
        <w:rPr>
          <w:lang w:eastAsia="tr-TR"/>
        </w:rPr>
        <w:t>in</w:t>
      </w:r>
      <w:r w:rsidR="0014446D">
        <w:rPr>
          <w:lang w:eastAsia="tr-TR"/>
        </w:rPr>
        <w:t xml:space="preserve"> </w:t>
      </w:r>
      <w:r>
        <w:rPr>
          <w:lang w:eastAsia="tr-TR"/>
        </w:rPr>
        <w:t>İletilmesi</w:t>
      </w:r>
      <w:bookmarkEnd w:id="274"/>
      <w:bookmarkEnd w:id="275"/>
    </w:p>
    <w:p w:rsidR="00DD55FA" w:rsidRPr="009D534F" w:rsidRDefault="00B61011" w:rsidP="004152F5">
      <w:pPr>
        <w:tabs>
          <w:tab w:val="left" w:pos="567"/>
          <w:tab w:val="left" w:pos="1843"/>
          <w:tab w:val="left" w:pos="2552"/>
          <w:tab w:val="left" w:pos="3261"/>
          <w:tab w:val="left" w:pos="3969"/>
          <w:tab w:val="left" w:pos="4678"/>
          <w:tab w:val="left" w:pos="5387"/>
          <w:tab w:val="left" w:pos="6096"/>
          <w:tab w:val="left" w:pos="6804"/>
          <w:tab w:val="left" w:pos="7513"/>
          <w:tab w:val="left" w:pos="8222"/>
          <w:tab w:val="left" w:pos="9356"/>
          <w:tab w:val="left" w:pos="9781"/>
        </w:tabs>
        <w:spacing w:after="240" w:line="240" w:lineRule="auto"/>
        <w:ind w:firstLine="709"/>
        <w:jc w:val="both"/>
        <w:rPr>
          <w:rFonts w:ascii="Times New Roman" w:hAnsi="Times New Roman" w:cs="Times New Roman"/>
          <w:sz w:val="24"/>
          <w:szCs w:val="24"/>
          <w:lang w:eastAsia="tr-TR"/>
        </w:rPr>
      </w:pPr>
      <w:r>
        <w:rPr>
          <w:rFonts w:ascii="Times New Roman" w:hAnsi="Times New Roman" w:cs="Times New Roman"/>
          <w:sz w:val="24"/>
          <w:szCs w:val="24"/>
          <w:lang w:eastAsia="tr-TR"/>
        </w:rPr>
        <w:t>K</w:t>
      </w:r>
      <w:r w:rsidR="00DD55FA" w:rsidRPr="009D534F">
        <w:rPr>
          <w:rFonts w:ascii="Times New Roman" w:hAnsi="Times New Roman" w:cs="Times New Roman"/>
          <w:sz w:val="24"/>
          <w:szCs w:val="24"/>
          <w:lang w:eastAsia="tr-TR"/>
        </w:rPr>
        <w:t>oruma amaçlı fonlar</w:t>
      </w:r>
      <w:r>
        <w:rPr>
          <w:rFonts w:ascii="Times New Roman" w:hAnsi="Times New Roman" w:cs="Times New Roman"/>
          <w:sz w:val="24"/>
          <w:szCs w:val="24"/>
          <w:lang w:eastAsia="tr-TR"/>
        </w:rPr>
        <w:t>,</w:t>
      </w:r>
      <w:r w:rsidR="002929F2">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g</w:t>
      </w:r>
      <w:r w:rsidRPr="009D534F">
        <w:rPr>
          <w:rFonts w:ascii="Times New Roman" w:hAnsi="Times New Roman" w:cs="Times New Roman"/>
          <w:sz w:val="24"/>
          <w:szCs w:val="24"/>
          <w:lang w:eastAsia="tr-TR"/>
        </w:rPr>
        <w:t>arantili</w:t>
      </w:r>
      <w:r>
        <w:rPr>
          <w:rFonts w:ascii="Times New Roman" w:hAnsi="Times New Roman" w:cs="Times New Roman"/>
          <w:sz w:val="24"/>
          <w:szCs w:val="24"/>
          <w:lang w:eastAsia="tr-TR"/>
        </w:rPr>
        <w:t xml:space="preserve"> fonlar </w:t>
      </w:r>
      <w:r w:rsidR="00DD55FA">
        <w:rPr>
          <w:rFonts w:ascii="Times New Roman" w:hAnsi="Times New Roman" w:cs="Times New Roman"/>
          <w:sz w:val="24"/>
          <w:szCs w:val="24"/>
          <w:lang w:eastAsia="tr-TR"/>
        </w:rPr>
        <w:t>ve serbest fonlar</w:t>
      </w:r>
      <w:r w:rsidR="00DD55FA" w:rsidRPr="009D534F">
        <w:rPr>
          <w:rFonts w:ascii="Times New Roman" w:hAnsi="Times New Roman" w:cs="Times New Roman"/>
          <w:sz w:val="24"/>
          <w:szCs w:val="24"/>
          <w:lang w:eastAsia="tr-TR"/>
        </w:rPr>
        <w:t xml:space="preserve"> tarafından</w:t>
      </w:r>
      <w:r w:rsidR="00280CD8">
        <w:rPr>
          <w:rFonts w:ascii="Times New Roman" w:hAnsi="Times New Roman" w:cs="Times New Roman"/>
          <w:sz w:val="24"/>
          <w:szCs w:val="24"/>
          <w:lang w:eastAsia="tr-TR"/>
        </w:rPr>
        <w:t xml:space="preserve"> </w:t>
      </w:r>
      <w:r w:rsidR="00DD55FA" w:rsidRPr="00C26917">
        <w:rPr>
          <w:rFonts w:ascii="Times New Roman" w:hAnsi="Times New Roman" w:cs="Times New Roman"/>
          <w:sz w:val="24"/>
          <w:szCs w:val="24"/>
          <w:lang w:eastAsia="tr-TR"/>
        </w:rPr>
        <w:t>her ayın son iş</w:t>
      </w:r>
      <w:r w:rsidR="00280CD8">
        <w:rPr>
          <w:rFonts w:ascii="Times New Roman" w:hAnsi="Times New Roman" w:cs="Times New Roman"/>
          <w:sz w:val="24"/>
          <w:szCs w:val="24"/>
          <w:lang w:eastAsia="tr-TR"/>
        </w:rPr>
        <w:t xml:space="preserve"> </w:t>
      </w:r>
      <w:r w:rsidR="00DD55FA" w:rsidRPr="00C26917">
        <w:rPr>
          <w:rFonts w:ascii="Times New Roman" w:hAnsi="Times New Roman" w:cs="Times New Roman"/>
          <w:sz w:val="24"/>
          <w:szCs w:val="24"/>
          <w:lang w:eastAsia="tr-TR"/>
        </w:rPr>
        <w:t xml:space="preserve">gününde söz konusu fonlara ilişkin en son yapılan değerlemede ortaya çıkan fon verileri (gösterge amaçlı olarak) aynen ve eksiksiz </w:t>
      </w:r>
      <w:r w:rsidR="00DD55FA" w:rsidRPr="009D534F">
        <w:rPr>
          <w:rFonts w:ascii="Times New Roman" w:hAnsi="Times New Roman" w:cs="Times New Roman"/>
          <w:sz w:val="24"/>
          <w:szCs w:val="24"/>
          <w:lang w:eastAsia="tr-TR"/>
        </w:rPr>
        <w:t>olarak “</w:t>
      </w:r>
      <w:r w:rsidR="0008785A">
        <w:rPr>
          <w:rFonts w:ascii="Times New Roman" w:hAnsi="Times New Roman" w:cs="Times New Roman"/>
          <w:sz w:val="24"/>
          <w:szCs w:val="24"/>
          <w:lang w:eastAsia="tr-TR"/>
        </w:rPr>
        <w:t>Takasbank</w:t>
      </w:r>
      <w:r w:rsidR="00280CD8">
        <w:rPr>
          <w:rFonts w:ascii="Times New Roman" w:hAnsi="Times New Roman" w:cs="Times New Roman"/>
          <w:sz w:val="24"/>
          <w:szCs w:val="24"/>
          <w:lang w:eastAsia="tr-TR"/>
        </w:rPr>
        <w:t xml:space="preserve"> </w:t>
      </w:r>
      <w:r w:rsidR="00DD55FA" w:rsidRPr="009D534F">
        <w:rPr>
          <w:rFonts w:ascii="Times New Roman" w:hAnsi="Times New Roman" w:cs="Times New Roman"/>
          <w:sz w:val="24"/>
          <w:szCs w:val="24"/>
          <w:lang w:eastAsia="tr-TR"/>
        </w:rPr>
        <w:t xml:space="preserve">Fon İşlemleri Menüsü” ekranından girilir. </w:t>
      </w:r>
    </w:p>
    <w:p w:rsidR="00CA03E0" w:rsidRDefault="00CA03E0" w:rsidP="004152F5">
      <w:pPr>
        <w:pStyle w:val="Heading2"/>
        <w:spacing w:after="240"/>
        <w:jc w:val="both"/>
        <w:rPr>
          <w:lang w:eastAsia="tr-TR"/>
        </w:rPr>
      </w:pPr>
      <w:bookmarkStart w:id="276" w:name="_Toc130312619"/>
      <w:bookmarkStart w:id="277" w:name="_Toc130312752"/>
      <w:r>
        <w:rPr>
          <w:bCs/>
        </w:rPr>
        <w:t>8.</w:t>
      </w:r>
      <w:r w:rsidR="00D86610">
        <w:rPr>
          <w:bCs/>
        </w:rPr>
        <w:t>5</w:t>
      </w:r>
      <w:r w:rsidRPr="009D534F">
        <w:rPr>
          <w:bCs/>
        </w:rPr>
        <w:t xml:space="preserve">. </w:t>
      </w:r>
      <w:r w:rsidRPr="00CA03E0">
        <w:rPr>
          <w:lang w:eastAsia="tr-TR"/>
        </w:rPr>
        <w:t>Toplam Gider Oranı Kontrolüne İlişkin</w:t>
      </w:r>
      <w:r>
        <w:rPr>
          <w:lang w:eastAsia="tr-TR"/>
        </w:rPr>
        <w:t xml:space="preserve"> Esaslar</w:t>
      </w:r>
      <w:bookmarkEnd w:id="276"/>
      <w:bookmarkEnd w:id="277"/>
    </w:p>
    <w:p w:rsidR="00F607D7" w:rsidRPr="00587303" w:rsidRDefault="00FB009D" w:rsidP="004152F5">
      <w:pPr>
        <w:tabs>
          <w:tab w:val="left" w:pos="567"/>
          <w:tab w:val="left" w:pos="1843"/>
          <w:tab w:val="left" w:pos="2552"/>
          <w:tab w:val="left" w:pos="3261"/>
          <w:tab w:val="left" w:pos="3969"/>
          <w:tab w:val="left" w:pos="4678"/>
          <w:tab w:val="left" w:pos="5387"/>
          <w:tab w:val="left" w:pos="6096"/>
          <w:tab w:val="left" w:pos="6804"/>
          <w:tab w:val="left" w:pos="7513"/>
          <w:tab w:val="left" w:pos="8222"/>
          <w:tab w:val="left" w:pos="9356"/>
          <w:tab w:val="left" w:pos="9781"/>
        </w:tabs>
        <w:spacing w:after="240" w:line="240" w:lineRule="auto"/>
        <w:ind w:firstLine="709"/>
        <w:jc w:val="both"/>
        <w:rPr>
          <w:rFonts w:ascii="Times New Roman" w:hAnsi="Times New Roman" w:cs="Times New Roman"/>
          <w:sz w:val="24"/>
          <w:szCs w:val="24"/>
          <w:lang w:eastAsia="tr-TR"/>
        </w:rPr>
      </w:pPr>
      <w:r w:rsidRPr="00587303">
        <w:rPr>
          <w:rFonts w:ascii="Times New Roman" w:hAnsi="Times New Roman" w:cs="Times New Roman"/>
          <w:sz w:val="24"/>
          <w:szCs w:val="24"/>
          <w:lang w:eastAsia="tr-TR"/>
        </w:rPr>
        <w:t>Fon toplam değeri ve birim pay fiyatı hesaplaması üçer aylık dönemlerinson iş gününe tekabül etmeyen garantili ve koruma amaçlı fonlar ile Fon Tebliği’nin 14</w:t>
      </w:r>
      <w:r w:rsidR="0014446D">
        <w:rPr>
          <w:rFonts w:ascii="Times New Roman" w:hAnsi="Times New Roman" w:cs="Times New Roman"/>
          <w:sz w:val="24"/>
          <w:szCs w:val="24"/>
          <w:lang w:eastAsia="tr-TR"/>
        </w:rPr>
        <w:t>’</w:t>
      </w:r>
      <w:r w:rsidRPr="00587303">
        <w:rPr>
          <w:rFonts w:ascii="Times New Roman" w:hAnsi="Times New Roman" w:cs="Times New Roman"/>
          <w:sz w:val="24"/>
          <w:szCs w:val="24"/>
          <w:lang w:eastAsia="tr-TR"/>
        </w:rPr>
        <w:t>üncü maddesinin dördüncü fıkrası çerçevesinde istisna getirilen fonlar için;</w:t>
      </w:r>
    </w:p>
    <w:p w:rsidR="00CC3D34" w:rsidRPr="00002528" w:rsidRDefault="00FB009D" w:rsidP="0006161B">
      <w:pPr>
        <w:pStyle w:val="ListParagraph"/>
        <w:numPr>
          <w:ilvl w:val="0"/>
          <w:numId w:val="63"/>
        </w:numPr>
        <w:spacing w:after="240" w:line="240" w:lineRule="auto"/>
        <w:jc w:val="both"/>
        <w:rPr>
          <w:rFonts w:ascii="Times New Roman" w:eastAsia="Times New Roman" w:hAnsi="Times New Roman" w:cs="Times New Roman"/>
          <w:sz w:val="24"/>
          <w:szCs w:val="24"/>
          <w:lang w:eastAsia="tr-TR"/>
        </w:rPr>
      </w:pPr>
      <w:r w:rsidRPr="00002528">
        <w:rPr>
          <w:rFonts w:ascii="Times New Roman" w:eastAsia="Times New Roman" w:hAnsi="Times New Roman" w:cs="Times New Roman"/>
          <w:sz w:val="24"/>
          <w:szCs w:val="24"/>
          <w:lang w:eastAsia="tr-TR"/>
        </w:rPr>
        <w:t xml:space="preserve">Sadece bahsi geçen kontrolün yapılmasında esas alınmak üzere </w:t>
      </w:r>
      <w:r w:rsidR="00CC3D34" w:rsidRPr="00002528">
        <w:rPr>
          <w:rFonts w:ascii="Times New Roman" w:eastAsia="Times New Roman" w:hAnsi="Times New Roman" w:cs="Times New Roman"/>
          <w:sz w:val="24"/>
          <w:szCs w:val="24"/>
          <w:lang w:eastAsia="tr-TR"/>
        </w:rPr>
        <w:t>ilgili</w:t>
      </w:r>
      <w:r w:rsidRPr="00002528">
        <w:rPr>
          <w:rFonts w:ascii="Times New Roman" w:eastAsia="Times New Roman" w:hAnsi="Times New Roman" w:cs="Times New Roman"/>
          <w:sz w:val="24"/>
          <w:szCs w:val="24"/>
          <w:lang w:eastAsia="tr-TR"/>
        </w:rPr>
        <w:t xml:space="preserve"> ayın son iş gününde fonun izahnamesinde yer alan portföy değerleme esasları kullanılarak (opsiyon için karşı taraftan son değerleme tarihinde alın</w:t>
      </w:r>
      <w:r w:rsidR="00CC3D34" w:rsidRPr="00002528">
        <w:rPr>
          <w:rFonts w:ascii="Times New Roman" w:eastAsia="Times New Roman" w:hAnsi="Times New Roman" w:cs="Times New Roman"/>
          <w:sz w:val="24"/>
          <w:szCs w:val="24"/>
          <w:lang w:eastAsia="tr-TR"/>
        </w:rPr>
        <w:t>an fiyat) değerleme yapılması</w:t>
      </w:r>
      <w:r w:rsidRPr="00002528">
        <w:rPr>
          <w:rFonts w:ascii="Times New Roman" w:eastAsia="Times New Roman" w:hAnsi="Times New Roman" w:cs="Times New Roman"/>
          <w:sz w:val="24"/>
          <w:szCs w:val="24"/>
          <w:lang w:eastAsia="tr-TR"/>
        </w:rPr>
        <w:t>,</w:t>
      </w:r>
    </w:p>
    <w:p w:rsidR="00CC3D34" w:rsidRPr="00002528" w:rsidRDefault="00FB009D" w:rsidP="0006161B">
      <w:pPr>
        <w:pStyle w:val="ListParagraph"/>
        <w:numPr>
          <w:ilvl w:val="0"/>
          <w:numId w:val="63"/>
        </w:numPr>
        <w:spacing w:after="240" w:line="240" w:lineRule="auto"/>
        <w:jc w:val="both"/>
        <w:rPr>
          <w:rFonts w:ascii="Times New Roman" w:eastAsia="Times New Roman" w:hAnsi="Times New Roman" w:cs="Times New Roman"/>
          <w:sz w:val="24"/>
          <w:szCs w:val="24"/>
          <w:lang w:eastAsia="tr-TR"/>
        </w:rPr>
      </w:pPr>
      <w:r w:rsidRPr="00002528">
        <w:rPr>
          <w:rFonts w:ascii="Times New Roman" w:eastAsia="Times New Roman" w:hAnsi="Times New Roman" w:cs="Times New Roman"/>
          <w:sz w:val="24"/>
          <w:szCs w:val="24"/>
          <w:lang w:eastAsia="tr-TR"/>
        </w:rPr>
        <w:t xml:space="preserve">Yönetim ücreti gibi ilgili dönemde tahakkuk ettirilmesi gereken giderlerin </w:t>
      </w:r>
      <w:r w:rsidR="00CC3D34" w:rsidRPr="00002528">
        <w:rPr>
          <w:rFonts w:ascii="Times New Roman" w:eastAsia="Times New Roman" w:hAnsi="Times New Roman" w:cs="Times New Roman"/>
          <w:sz w:val="24"/>
          <w:szCs w:val="24"/>
          <w:lang w:eastAsia="tr-TR"/>
        </w:rPr>
        <w:t xml:space="preserve">ilgili </w:t>
      </w:r>
      <w:r w:rsidRPr="00002528">
        <w:rPr>
          <w:rFonts w:ascii="Times New Roman" w:eastAsia="Times New Roman" w:hAnsi="Times New Roman" w:cs="Times New Roman"/>
          <w:sz w:val="24"/>
          <w:szCs w:val="24"/>
          <w:lang w:eastAsia="tr-TR"/>
        </w:rPr>
        <w:t>ayın son iş gününde bulunan fon toplam değeri ü</w:t>
      </w:r>
      <w:r w:rsidR="00CC3D34" w:rsidRPr="00002528">
        <w:rPr>
          <w:rFonts w:ascii="Times New Roman" w:eastAsia="Times New Roman" w:hAnsi="Times New Roman" w:cs="Times New Roman"/>
          <w:sz w:val="24"/>
          <w:szCs w:val="24"/>
          <w:lang w:eastAsia="tr-TR"/>
        </w:rPr>
        <w:t>zerinden tahakkuk ettirilmesi</w:t>
      </w:r>
      <w:r w:rsidRPr="00002528">
        <w:rPr>
          <w:rFonts w:ascii="Times New Roman" w:eastAsia="Times New Roman" w:hAnsi="Times New Roman" w:cs="Times New Roman"/>
          <w:sz w:val="24"/>
          <w:szCs w:val="24"/>
          <w:lang w:eastAsia="tr-TR"/>
        </w:rPr>
        <w:t>,</w:t>
      </w:r>
    </w:p>
    <w:p w:rsidR="00CC3D34" w:rsidRPr="00002528" w:rsidRDefault="00FB009D" w:rsidP="0006161B">
      <w:pPr>
        <w:pStyle w:val="ListParagraph"/>
        <w:numPr>
          <w:ilvl w:val="0"/>
          <w:numId w:val="63"/>
        </w:numPr>
        <w:spacing w:after="240" w:line="240" w:lineRule="auto"/>
        <w:jc w:val="both"/>
        <w:rPr>
          <w:rFonts w:ascii="Times New Roman" w:eastAsia="Times New Roman" w:hAnsi="Times New Roman" w:cs="Times New Roman"/>
          <w:sz w:val="24"/>
          <w:szCs w:val="24"/>
          <w:lang w:eastAsia="tr-TR"/>
        </w:rPr>
      </w:pPr>
      <w:r w:rsidRPr="00002528">
        <w:rPr>
          <w:rFonts w:ascii="Times New Roman" w:eastAsia="Times New Roman" w:hAnsi="Times New Roman" w:cs="Times New Roman"/>
          <w:sz w:val="24"/>
          <w:szCs w:val="24"/>
          <w:lang w:eastAsia="tr-TR"/>
        </w:rPr>
        <w:t>Yapılan değerleme ve giderlerin tahakkuku sonrasında bulunacak toplam değer üzerinden gösterge niteliğinde</w:t>
      </w:r>
      <w:r w:rsidR="00CC3D34" w:rsidRPr="00002528">
        <w:rPr>
          <w:rFonts w:ascii="Times New Roman" w:eastAsia="Times New Roman" w:hAnsi="Times New Roman" w:cs="Times New Roman"/>
          <w:sz w:val="24"/>
          <w:szCs w:val="24"/>
          <w:lang w:eastAsia="tr-TR"/>
        </w:rPr>
        <w:t xml:space="preserve"> birim pay fiyatı hesaplanması</w:t>
      </w:r>
    </w:p>
    <w:p w:rsidR="00CC3D34" w:rsidRPr="00CC3D34" w:rsidRDefault="00CC3D34" w:rsidP="005845F8">
      <w:pPr>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gerekmektedir. </w:t>
      </w:r>
    </w:p>
    <w:p w:rsidR="00CC3D34" w:rsidRPr="00CC3D34" w:rsidRDefault="00CC3D34" w:rsidP="005845F8">
      <w:pPr>
        <w:ind w:firstLine="708"/>
        <w:jc w:val="both"/>
        <w:rPr>
          <w:rFonts w:ascii="Times New Roman" w:hAnsi="Times New Roman" w:cs="Times New Roman"/>
          <w:sz w:val="24"/>
          <w:szCs w:val="24"/>
          <w:lang w:eastAsia="tr-TR"/>
        </w:rPr>
      </w:pPr>
      <w:r w:rsidRPr="00CC3D34">
        <w:rPr>
          <w:rFonts w:ascii="Times New Roman" w:hAnsi="Times New Roman" w:cs="Times New Roman"/>
          <w:color w:val="000000"/>
          <w:sz w:val="24"/>
          <w:szCs w:val="24"/>
          <w:lang w:eastAsia="tr-TR"/>
        </w:rPr>
        <w:t>Yukarıda belirtilen şekilde hesaplanacak gösterge niteliğindeki birim pay fiyatı kamuya ilan edilmez ve katılma payı alım satımında kullanılmaz; ancak söz konusu hesaplama için hazırlanan fon portföy değeri ve fon toplam değeri tabloları her ayın son iş gününde portföy saklayıcısına ve Takasbank’a bildirilir.</w:t>
      </w:r>
    </w:p>
    <w:p w:rsidR="00480154" w:rsidRPr="00EC6448" w:rsidRDefault="00480154" w:rsidP="004152F5">
      <w:pPr>
        <w:pStyle w:val="Heading2"/>
        <w:spacing w:after="240"/>
        <w:jc w:val="both"/>
        <w:rPr>
          <w:lang w:eastAsia="tr-TR"/>
        </w:rPr>
      </w:pPr>
      <w:bookmarkStart w:id="278" w:name="_Toc130312620"/>
      <w:bookmarkStart w:id="279" w:name="_Toc130312753"/>
      <w:r w:rsidRPr="00EC6448">
        <w:rPr>
          <w:bCs/>
        </w:rPr>
        <w:t>8.</w:t>
      </w:r>
      <w:r w:rsidR="00D86610">
        <w:rPr>
          <w:bCs/>
        </w:rPr>
        <w:t>6</w:t>
      </w:r>
      <w:r w:rsidRPr="00EC6448">
        <w:rPr>
          <w:bCs/>
        </w:rPr>
        <w:t xml:space="preserve">. </w:t>
      </w:r>
      <w:r w:rsidRPr="00EC6448">
        <w:rPr>
          <w:rFonts w:cs="Times New Roman"/>
          <w:szCs w:val="24"/>
          <w:lang w:eastAsia="tr-TR"/>
        </w:rPr>
        <w:t xml:space="preserve">Pay </w:t>
      </w:r>
      <w:r w:rsidR="00430884" w:rsidRPr="00EC6448">
        <w:rPr>
          <w:rFonts w:cs="Times New Roman"/>
          <w:szCs w:val="24"/>
          <w:lang w:eastAsia="tr-TR"/>
        </w:rPr>
        <w:t xml:space="preserve">Alım Satım Talimatlarına </w:t>
      </w:r>
      <w:r w:rsidR="00430884" w:rsidRPr="00EC6448">
        <w:rPr>
          <w:lang w:eastAsia="tr-TR"/>
        </w:rPr>
        <w:t xml:space="preserve">İlişkin </w:t>
      </w:r>
      <w:r w:rsidRPr="00EC6448">
        <w:rPr>
          <w:lang w:eastAsia="tr-TR"/>
        </w:rPr>
        <w:t>Esaslar</w:t>
      </w:r>
      <w:bookmarkEnd w:id="278"/>
      <w:bookmarkEnd w:id="279"/>
    </w:p>
    <w:p w:rsidR="00480154" w:rsidRPr="00EC6448" w:rsidRDefault="00480154" w:rsidP="00480154">
      <w:pPr>
        <w:ind w:firstLine="708"/>
        <w:jc w:val="both"/>
        <w:rPr>
          <w:rFonts w:ascii="Times New Roman" w:eastAsia="Times New Roman" w:hAnsi="Times New Roman" w:cs="Times New Roman"/>
          <w:sz w:val="24"/>
          <w:szCs w:val="24"/>
          <w:lang w:eastAsia="tr-TR"/>
        </w:rPr>
      </w:pPr>
      <w:r w:rsidRPr="00EC6448">
        <w:rPr>
          <w:rFonts w:ascii="Times New Roman" w:eastAsia="Times New Roman" w:hAnsi="Times New Roman" w:cs="Times New Roman"/>
          <w:sz w:val="24"/>
          <w:szCs w:val="24"/>
          <w:lang w:eastAsia="tr-TR"/>
        </w:rPr>
        <w:t xml:space="preserve">Pay alım satım talimatlarının; </w:t>
      </w:r>
    </w:p>
    <w:p w:rsidR="00480154" w:rsidRPr="00EC6448" w:rsidRDefault="00480154" w:rsidP="0006161B">
      <w:pPr>
        <w:pStyle w:val="ListParagraph"/>
        <w:numPr>
          <w:ilvl w:val="0"/>
          <w:numId w:val="64"/>
        </w:numPr>
        <w:spacing w:after="240" w:line="240" w:lineRule="auto"/>
        <w:ind w:left="1276" w:right="-141"/>
        <w:jc w:val="both"/>
        <w:rPr>
          <w:rFonts w:ascii="Times New Roman" w:eastAsia="Times New Roman" w:hAnsi="Times New Roman" w:cs="Times New Roman"/>
          <w:sz w:val="24"/>
          <w:szCs w:val="24"/>
          <w:lang w:eastAsia="tr-TR"/>
        </w:rPr>
      </w:pPr>
      <w:r w:rsidRPr="00EC6448">
        <w:rPr>
          <w:rFonts w:ascii="Times New Roman" w:eastAsia="Times New Roman" w:hAnsi="Times New Roman" w:cs="Times New Roman"/>
          <w:sz w:val="24"/>
          <w:szCs w:val="24"/>
          <w:lang w:eastAsia="tr-TR"/>
        </w:rPr>
        <w:t>İleri fiyat uygulanan fonlarda talimatın verilmesini takip eden ilk iş gününde (T+1),</w:t>
      </w:r>
    </w:p>
    <w:p w:rsidR="00480154" w:rsidRPr="00EC6448" w:rsidRDefault="00480154" w:rsidP="0006161B">
      <w:pPr>
        <w:pStyle w:val="ListParagraph"/>
        <w:numPr>
          <w:ilvl w:val="0"/>
          <w:numId w:val="64"/>
        </w:numPr>
        <w:spacing w:after="240" w:line="240" w:lineRule="auto"/>
        <w:ind w:left="1276" w:right="-141"/>
        <w:jc w:val="both"/>
        <w:rPr>
          <w:rFonts w:ascii="Times New Roman" w:eastAsia="Times New Roman" w:hAnsi="Times New Roman" w:cs="Times New Roman"/>
          <w:sz w:val="24"/>
          <w:szCs w:val="24"/>
          <w:lang w:eastAsia="tr-TR"/>
        </w:rPr>
      </w:pPr>
      <w:r w:rsidRPr="00EC6448">
        <w:rPr>
          <w:rFonts w:ascii="Times New Roman" w:eastAsia="Times New Roman" w:hAnsi="Times New Roman" w:cs="Times New Roman"/>
          <w:sz w:val="24"/>
          <w:szCs w:val="24"/>
          <w:lang w:eastAsia="tr-TR"/>
        </w:rPr>
        <w:t xml:space="preserve">Geri fiyat uygulanan fonlarda ise talimatın verildiği </w:t>
      </w:r>
      <w:r w:rsidR="00CD1B6F" w:rsidRPr="00EC6448">
        <w:rPr>
          <w:rFonts w:ascii="Times New Roman" w:eastAsia="Times New Roman" w:hAnsi="Times New Roman" w:cs="Times New Roman"/>
          <w:sz w:val="24"/>
          <w:szCs w:val="24"/>
          <w:lang w:eastAsia="tr-TR"/>
        </w:rPr>
        <w:t xml:space="preserve">iş </w:t>
      </w:r>
      <w:r w:rsidRPr="00EC6448">
        <w:rPr>
          <w:rFonts w:ascii="Times New Roman" w:eastAsia="Times New Roman" w:hAnsi="Times New Roman" w:cs="Times New Roman"/>
          <w:sz w:val="24"/>
          <w:szCs w:val="24"/>
          <w:lang w:eastAsia="tr-TR"/>
        </w:rPr>
        <w:t>gün</w:t>
      </w:r>
      <w:r w:rsidR="00CD1B6F" w:rsidRPr="00EC6448">
        <w:rPr>
          <w:rFonts w:ascii="Times New Roman" w:eastAsia="Times New Roman" w:hAnsi="Times New Roman" w:cs="Times New Roman"/>
          <w:sz w:val="24"/>
          <w:szCs w:val="24"/>
          <w:lang w:eastAsia="tr-TR"/>
        </w:rPr>
        <w:t>ü</w:t>
      </w:r>
      <w:r w:rsidRPr="00EC6448">
        <w:rPr>
          <w:rFonts w:ascii="Times New Roman" w:eastAsia="Times New Roman" w:hAnsi="Times New Roman" w:cs="Times New Roman"/>
          <w:sz w:val="24"/>
          <w:szCs w:val="24"/>
          <w:lang w:eastAsia="tr-TR"/>
        </w:rPr>
        <w:t xml:space="preserve"> (T)</w:t>
      </w:r>
    </w:p>
    <w:p w:rsidR="00480154" w:rsidRPr="001F768A" w:rsidRDefault="00480154" w:rsidP="00480154">
      <w:pPr>
        <w:spacing w:after="240" w:line="240" w:lineRule="auto"/>
        <w:ind w:left="710" w:right="-141"/>
        <w:jc w:val="both"/>
        <w:rPr>
          <w:rFonts w:ascii="Times New Roman" w:eastAsia="Times New Roman" w:hAnsi="Times New Roman" w:cs="Times New Roman"/>
          <w:sz w:val="24"/>
          <w:szCs w:val="24"/>
          <w:lang w:eastAsia="tr-TR"/>
        </w:rPr>
      </w:pPr>
      <w:r w:rsidRPr="00EC6448">
        <w:rPr>
          <w:rFonts w:ascii="Times New Roman" w:eastAsia="Times New Roman" w:hAnsi="Times New Roman" w:cs="Times New Roman"/>
          <w:sz w:val="24"/>
          <w:szCs w:val="24"/>
          <w:lang w:eastAsia="tr-TR"/>
        </w:rPr>
        <w:t xml:space="preserve">fon toplam değer tablosu ve pay sayısı ile </w:t>
      </w:r>
      <w:r w:rsidR="00D86610" w:rsidRPr="00D86610">
        <w:rPr>
          <w:rFonts w:ascii="Times New Roman" w:eastAsia="Times New Roman" w:hAnsi="Times New Roman" w:cs="Times New Roman"/>
          <w:b/>
          <w:sz w:val="24"/>
          <w:szCs w:val="24"/>
          <w:lang w:eastAsia="tr-TR"/>
        </w:rPr>
        <w:t>Ek/</w:t>
      </w:r>
      <w:r w:rsidR="0014446D">
        <w:rPr>
          <w:rFonts w:ascii="Times New Roman" w:eastAsia="Times New Roman" w:hAnsi="Times New Roman" w:cs="Times New Roman"/>
          <w:b/>
          <w:sz w:val="24"/>
          <w:szCs w:val="24"/>
          <w:lang w:eastAsia="tr-TR"/>
        </w:rPr>
        <w:t>3</w:t>
      </w:r>
      <w:r w:rsidR="00D86610" w:rsidRPr="00D86610">
        <w:rPr>
          <w:rFonts w:ascii="Times New Roman" w:eastAsia="Times New Roman" w:hAnsi="Times New Roman" w:cs="Times New Roman"/>
          <w:b/>
          <w:sz w:val="24"/>
          <w:szCs w:val="24"/>
          <w:lang w:eastAsia="tr-TR"/>
        </w:rPr>
        <w:t>’</w:t>
      </w:r>
      <w:r w:rsidR="0014446D">
        <w:rPr>
          <w:rFonts w:ascii="Times New Roman" w:eastAsia="Times New Roman" w:hAnsi="Times New Roman" w:cs="Times New Roman"/>
          <w:sz w:val="24"/>
          <w:szCs w:val="24"/>
          <w:lang w:eastAsia="tr-TR"/>
        </w:rPr>
        <w:t>t</w:t>
      </w:r>
      <w:r w:rsidR="00D86610" w:rsidRPr="00D86610">
        <w:rPr>
          <w:rFonts w:ascii="Times New Roman" w:eastAsia="Times New Roman" w:hAnsi="Times New Roman" w:cs="Times New Roman"/>
          <w:sz w:val="24"/>
          <w:szCs w:val="24"/>
          <w:lang w:eastAsia="tr-TR"/>
        </w:rPr>
        <w:t>eki</w:t>
      </w:r>
      <w:r w:rsidR="00D86610">
        <w:rPr>
          <w:rFonts w:ascii="Times New Roman" w:eastAsia="Times New Roman" w:hAnsi="Times New Roman" w:cs="Times New Roman"/>
          <w:sz w:val="24"/>
          <w:szCs w:val="24"/>
          <w:lang w:eastAsia="tr-TR"/>
        </w:rPr>
        <w:t xml:space="preserve"> örneğe göre </w:t>
      </w:r>
      <w:r w:rsidRPr="00EC6448">
        <w:rPr>
          <w:rFonts w:ascii="Times New Roman" w:eastAsia="Times New Roman" w:hAnsi="Times New Roman" w:cs="Times New Roman"/>
          <w:sz w:val="24"/>
          <w:szCs w:val="24"/>
          <w:lang w:eastAsia="tr-TR"/>
        </w:rPr>
        <w:t>ilişkilendirilmesi gerekir.</w:t>
      </w:r>
    </w:p>
    <w:p w:rsidR="00F56A50" w:rsidRDefault="000C6C1D" w:rsidP="00CE5BAA">
      <w:pPr>
        <w:pStyle w:val="Heading1"/>
      </w:pPr>
      <w:bookmarkStart w:id="280" w:name="_Toc130312621"/>
      <w:bookmarkStart w:id="281" w:name="_Toc130312754"/>
      <w:r>
        <w:t>9</w:t>
      </w:r>
      <w:r w:rsidR="00F56A50" w:rsidRPr="009D534F">
        <w:t xml:space="preserve">. </w:t>
      </w:r>
      <w:r w:rsidR="00F56A50" w:rsidRPr="005D5277">
        <w:t>Kamuyu Aydınlatma Esasları</w:t>
      </w:r>
      <w:bookmarkEnd w:id="280"/>
      <w:bookmarkEnd w:id="281"/>
    </w:p>
    <w:p w:rsidR="00686430" w:rsidRPr="00686430" w:rsidRDefault="00686430" w:rsidP="00686430"/>
    <w:p w:rsidR="00F56A50" w:rsidRDefault="000C6C1D" w:rsidP="00CE5BAA">
      <w:pPr>
        <w:pStyle w:val="Heading2"/>
      </w:pPr>
      <w:bookmarkStart w:id="282" w:name="_Toc130312622"/>
      <w:bookmarkStart w:id="283" w:name="_Toc130312755"/>
      <w:r>
        <w:t>9</w:t>
      </w:r>
      <w:r w:rsidR="00F56A50" w:rsidRPr="0012640E">
        <w:t xml:space="preserve">.1. </w:t>
      </w:r>
      <w:r w:rsidR="00F56A50" w:rsidRPr="009D534F">
        <w:t>Komisyon ve Ücretler</w:t>
      </w:r>
      <w:bookmarkEnd w:id="282"/>
      <w:bookmarkEnd w:id="283"/>
    </w:p>
    <w:p w:rsidR="00686430" w:rsidRPr="00686430" w:rsidRDefault="00686430" w:rsidP="00686430"/>
    <w:p w:rsidR="00F56A50" w:rsidRDefault="00F56A50" w:rsidP="005845F8">
      <w:pPr>
        <w:pStyle w:val="NormalWeb"/>
        <w:shd w:val="clear" w:color="auto" w:fill="FFFFFF"/>
        <w:spacing w:before="0" w:beforeAutospacing="0" w:after="240" w:afterAutospacing="0"/>
        <w:ind w:firstLine="708"/>
        <w:jc w:val="both"/>
      </w:pPr>
      <w:r>
        <w:t>Fonların</w:t>
      </w:r>
      <w:r w:rsidRPr="000100CE">
        <w:t xml:space="preserve">; işlem yaptıkları aracı kurumun unvanı, fon adına ilgili dönemde anılan aracı kuruma ödenen </w:t>
      </w:r>
      <w:r w:rsidR="0082765F">
        <w:t xml:space="preserve">toplam </w:t>
      </w:r>
      <w:r w:rsidRPr="000100CE">
        <w:t>komisyon tutarı, ortalama komisyon oranı ve ödenen komisyon tutarının aynı dönemdeki ortalama fon toplam değerine oranı</w:t>
      </w:r>
      <w:r w:rsidR="00C13809">
        <w:t xml:space="preserve"> ve </w:t>
      </w:r>
      <w:r w:rsidR="008E38E0">
        <w:t>fon portföyüne yapılan varlık alım satım işlemlerinin</w:t>
      </w:r>
      <w:r w:rsidR="00F5483C">
        <w:t xml:space="preserve"> büyüklüklerinin</w:t>
      </w:r>
      <w:r w:rsidR="008E38E0">
        <w:t xml:space="preserve"> ağırlıklı ortalama fon toplam değerine oranı </w:t>
      </w:r>
      <w:r w:rsidRPr="000100CE">
        <w:t>bilgileri, yılın her üç aylık dönemini takip eden 10 işgünü içerisinde ve takvim yılı başından itibaren kümülatif olarak KAP’ta</w:t>
      </w:r>
      <w:r w:rsidR="00B873F6">
        <w:t xml:space="preserve"> </w:t>
      </w:r>
      <w:r>
        <w:t>açıklanır</w:t>
      </w:r>
      <w:r w:rsidR="004A163D">
        <w:t xml:space="preserve"> ve </w:t>
      </w:r>
      <w:r w:rsidR="00FA7E78">
        <w:t xml:space="preserve">en </w:t>
      </w:r>
      <w:r w:rsidR="004A163D">
        <w:t xml:space="preserve">son açıklanan güncel bilgilere </w:t>
      </w:r>
      <w:r w:rsidR="00012200">
        <w:t xml:space="preserve">ayrıca </w:t>
      </w:r>
      <w:r w:rsidR="004152F5">
        <w:t xml:space="preserve">fonun </w:t>
      </w:r>
      <w:r w:rsidR="00F5483C">
        <w:t>KAP’ta</w:t>
      </w:r>
      <w:r w:rsidR="00B873F6">
        <w:t xml:space="preserve"> </w:t>
      </w:r>
      <w:r w:rsidR="004A163D">
        <w:t>yer alan sürekli bilgilendirme formunda</w:t>
      </w:r>
      <w:r w:rsidR="004A163D" w:rsidRPr="00BD2ED0">
        <w:t xml:space="preserve"> yer veril</w:t>
      </w:r>
      <w:r w:rsidR="004A163D">
        <w:t xml:space="preserve">ir. </w:t>
      </w:r>
    </w:p>
    <w:p w:rsidR="00F56A50" w:rsidRDefault="00F56A50" w:rsidP="005845F8">
      <w:pPr>
        <w:pStyle w:val="NormalWeb"/>
        <w:shd w:val="clear" w:color="auto" w:fill="FFFFFF"/>
        <w:spacing w:before="0" w:beforeAutospacing="0" w:after="240" w:afterAutospacing="0"/>
        <w:ind w:firstLine="708"/>
        <w:jc w:val="both"/>
      </w:pPr>
      <w:r>
        <w:t>Fonlara</w:t>
      </w:r>
      <w:r w:rsidRPr="00BD2ED0">
        <w:t xml:space="preserve"> uygulanan yönetim ücreti ile giriş ve çıkış komisyonları ile bunlara ilişkin </w:t>
      </w:r>
      <w:r>
        <w:t xml:space="preserve">açıklamaların yer verildiği </w:t>
      </w:r>
      <w:r w:rsidR="00E23D79" w:rsidRPr="00E23D79">
        <w:rPr>
          <w:b/>
        </w:rPr>
        <w:t>Ek/4</w:t>
      </w:r>
      <w:r w:rsidRPr="00E23D79">
        <w:t>’</w:t>
      </w:r>
      <w:r w:rsidR="00B873F6">
        <w:t>t</w:t>
      </w:r>
      <w:r w:rsidRPr="00E23D79">
        <w:t>eki</w:t>
      </w:r>
      <w:r w:rsidRPr="00BD2ED0">
        <w:t xml:space="preserve"> formata uygun bir tablo hazırlanarak, bu tabloya </w:t>
      </w:r>
      <w:r w:rsidR="004152F5">
        <w:t>f</w:t>
      </w:r>
      <w:r w:rsidR="004A163D">
        <w:t xml:space="preserve">onun </w:t>
      </w:r>
      <w:r w:rsidR="00FA7E78">
        <w:t>KAP’ta</w:t>
      </w:r>
      <w:r w:rsidR="00B873F6">
        <w:t xml:space="preserve"> </w:t>
      </w:r>
      <w:r w:rsidR="004A163D">
        <w:t>yer alan sürekli bilgilendirme formunda</w:t>
      </w:r>
      <w:r w:rsidRPr="00BD2ED0">
        <w:t xml:space="preserve"> yer veril</w:t>
      </w:r>
      <w:r w:rsidR="004A163D">
        <w:t xml:space="preserve">ir. </w:t>
      </w:r>
    </w:p>
    <w:p w:rsidR="0008785A" w:rsidRDefault="0008785A" w:rsidP="004152F5">
      <w:pPr>
        <w:pStyle w:val="Heading2"/>
        <w:spacing w:after="240"/>
        <w:jc w:val="both"/>
      </w:pPr>
      <w:bookmarkStart w:id="284" w:name="_Toc130312623"/>
      <w:bookmarkStart w:id="285" w:name="_Toc130312756"/>
      <w:r>
        <w:t>9.2. Fon Sürekli Bilgilendirme Formu</w:t>
      </w:r>
      <w:bookmarkEnd w:id="284"/>
      <w:bookmarkEnd w:id="285"/>
    </w:p>
    <w:p w:rsidR="0008785A" w:rsidRPr="0008785A" w:rsidRDefault="0008785A" w:rsidP="004152F5">
      <w:pPr>
        <w:jc w:val="both"/>
      </w:pPr>
      <w:r>
        <w:tab/>
      </w:r>
      <w:r w:rsidRPr="0008785A">
        <w:rPr>
          <w:rFonts w:ascii="Times New Roman" w:eastAsia="Times New Roman" w:hAnsi="Times New Roman" w:cs="Times New Roman"/>
          <w:sz w:val="24"/>
          <w:szCs w:val="24"/>
          <w:lang w:eastAsia="tr-TR"/>
        </w:rPr>
        <w:t>Fon sürekli bilgilendirme formu</w:t>
      </w:r>
      <w:r>
        <w:rPr>
          <w:rFonts w:ascii="Times New Roman" w:eastAsia="Times New Roman" w:hAnsi="Times New Roman" w:cs="Times New Roman"/>
          <w:sz w:val="24"/>
          <w:szCs w:val="24"/>
          <w:lang w:eastAsia="tr-TR"/>
        </w:rPr>
        <w:t xml:space="preserve"> Kurulca belirlenen formata uygun olarak KAP’ta yer alır. Bu formun </w:t>
      </w:r>
      <w:r w:rsidRPr="0008785A">
        <w:rPr>
          <w:rFonts w:ascii="Times New Roman" w:eastAsia="Times New Roman" w:hAnsi="Times New Roman" w:cs="Times New Roman"/>
          <w:sz w:val="24"/>
          <w:szCs w:val="24"/>
          <w:lang w:eastAsia="tr-TR"/>
        </w:rPr>
        <w:t xml:space="preserve">içeriğinin doğruluğundan, güncelliğinin sağlanmasından ve bu formda yer alan yanlış, yanıltıcı veya eksik bilgilerden kaynaklanan zararlardan </w:t>
      </w:r>
      <w:r>
        <w:rPr>
          <w:rFonts w:ascii="Times New Roman" w:eastAsia="Times New Roman" w:hAnsi="Times New Roman" w:cs="Times New Roman"/>
          <w:sz w:val="24"/>
          <w:szCs w:val="24"/>
          <w:lang w:eastAsia="tr-TR"/>
        </w:rPr>
        <w:t xml:space="preserve">Kurucu </w:t>
      </w:r>
      <w:r w:rsidRPr="0008785A">
        <w:rPr>
          <w:rFonts w:ascii="Times New Roman" w:eastAsia="Times New Roman" w:hAnsi="Times New Roman" w:cs="Times New Roman"/>
          <w:sz w:val="24"/>
          <w:szCs w:val="24"/>
          <w:lang w:eastAsia="tr-TR"/>
        </w:rPr>
        <w:t>sorumludur.</w:t>
      </w:r>
    </w:p>
    <w:p w:rsidR="008A313E" w:rsidRDefault="000C6C1D" w:rsidP="004152F5">
      <w:pPr>
        <w:pStyle w:val="Heading2"/>
        <w:spacing w:after="240"/>
        <w:jc w:val="both"/>
      </w:pPr>
      <w:bookmarkStart w:id="286" w:name="_Toc130312624"/>
      <w:bookmarkStart w:id="287" w:name="_Toc130312757"/>
      <w:r>
        <w:t>9</w:t>
      </w:r>
      <w:r w:rsidR="009F3445">
        <w:t>.3</w:t>
      </w:r>
      <w:r w:rsidR="008A313E">
        <w:t>. Yatırımcı Bilgi Formu</w:t>
      </w:r>
      <w:r w:rsidR="00B41810">
        <w:t xml:space="preserve">nda Yer Alan Performans Senaryosu </w:t>
      </w:r>
      <w:r w:rsidR="008A313E">
        <w:t xml:space="preserve">ve </w:t>
      </w:r>
      <w:r w:rsidR="00B41810">
        <w:t>Risk Değeri</w:t>
      </w:r>
      <w:bookmarkEnd w:id="286"/>
      <w:bookmarkEnd w:id="287"/>
    </w:p>
    <w:p w:rsidR="009129F5" w:rsidRDefault="000C6C1D" w:rsidP="004152F5">
      <w:pPr>
        <w:pStyle w:val="Heading3"/>
        <w:spacing w:after="240"/>
      </w:pPr>
      <w:bookmarkStart w:id="288" w:name="_Toc130312625"/>
      <w:bookmarkStart w:id="289" w:name="_Toc130312758"/>
      <w:r>
        <w:t>9</w:t>
      </w:r>
      <w:r w:rsidR="009129F5">
        <w:t>.</w:t>
      </w:r>
      <w:r w:rsidR="009F3445">
        <w:t>3</w:t>
      </w:r>
      <w:r w:rsidR="00B41810">
        <w:t>.1</w:t>
      </w:r>
      <w:r w:rsidR="009129F5">
        <w:t>. Performans Senaryo</w:t>
      </w:r>
      <w:r w:rsidR="00111170">
        <w:t>su</w:t>
      </w:r>
      <w:bookmarkEnd w:id="288"/>
      <w:bookmarkEnd w:id="289"/>
    </w:p>
    <w:p w:rsidR="009129F5" w:rsidRDefault="009129F5" w:rsidP="004152F5">
      <w:pPr>
        <w:spacing w:after="240"/>
        <w:ind w:firstLine="708"/>
        <w:jc w:val="both"/>
        <w:rPr>
          <w:rFonts w:ascii="Times New Roman" w:hAnsi="Times New Roman" w:cs="Times New Roman"/>
          <w:sz w:val="24"/>
          <w:szCs w:val="24"/>
        </w:rPr>
      </w:pPr>
      <w:r>
        <w:rPr>
          <w:rFonts w:ascii="Times New Roman" w:hAnsi="Times New Roman" w:cs="Times New Roman"/>
          <w:sz w:val="24"/>
          <w:szCs w:val="24"/>
        </w:rPr>
        <w:t xml:space="preserve">Koruma amaçlı ve garantili fonların yatırım </w:t>
      </w:r>
      <w:r w:rsidR="004152F5">
        <w:rPr>
          <w:rFonts w:ascii="Times New Roman" w:hAnsi="Times New Roman" w:cs="Times New Roman"/>
          <w:sz w:val="24"/>
          <w:szCs w:val="24"/>
        </w:rPr>
        <w:t xml:space="preserve">stratejilerinin </w:t>
      </w:r>
      <w:r>
        <w:rPr>
          <w:rFonts w:ascii="Times New Roman" w:hAnsi="Times New Roman" w:cs="Times New Roman"/>
          <w:sz w:val="24"/>
          <w:szCs w:val="24"/>
        </w:rPr>
        <w:t>yatırımcılar tarafından daha net anlaşılabilmesini teminen</w:t>
      </w:r>
      <w:r w:rsidR="004152F5">
        <w:rPr>
          <w:rFonts w:ascii="Times New Roman" w:hAnsi="Times New Roman" w:cs="Times New Roman"/>
          <w:sz w:val="24"/>
          <w:szCs w:val="24"/>
        </w:rPr>
        <w:t xml:space="preserve">, </w:t>
      </w:r>
      <w:r>
        <w:rPr>
          <w:rFonts w:ascii="Times New Roman" w:hAnsi="Times New Roman" w:cs="Times New Roman"/>
          <w:sz w:val="24"/>
          <w:szCs w:val="24"/>
        </w:rPr>
        <w:t xml:space="preserve">aşağıda yer verilen esaslar çerçevesinde performans senaryo analizlerine yatırımcı bilgi formunda yer verilmesi zorunludur. </w:t>
      </w:r>
    </w:p>
    <w:p w:rsidR="009129F5" w:rsidRDefault="009129F5" w:rsidP="0006161B">
      <w:pPr>
        <w:pStyle w:val="ListParagraph"/>
        <w:numPr>
          <w:ilvl w:val="0"/>
          <w:numId w:val="44"/>
        </w:numPr>
        <w:jc w:val="both"/>
        <w:rPr>
          <w:rFonts w:ascii="Times New Roman" w:hAnsi="Times New Roman" w:cs="Times New Roman"/>
          <w:sz w:val="24"/>
          <w:szCs w:val="24"/>
        </w:rPr>
      </w:pPr>
      <w:r>
        <w:rPr>
          <w:rFonts w:ascii="Times New Roman" w:hAnsi="Times New Roman" w:cs="Times New Roman"/>
          <w:sz w:val="24"/>
          <w:szCs w:val="24"/>
        </w:rPr>
        <w:t xml:space="preserve">Senaryolar, açık ve adil olmalı ve yatırımcıları yanıltıcı unsurlar içermemelidir. </w:t>
      </w:r>
    </w:p>
    <w:p w:rsidR="009129F5" w:rsidRPr="00EB1965" w:rsidRDefault="009129F5" w:rsidP="0006161B">
      <w:pPr>
        <w:pStyle w:val="ListParagraph"/>
        <w:numPr>
          <w:ilvl w:val="0"/>
          <w:numId w:val="44"/>
        </w:numPr>
        <w:jc w:val="both"/>
        <w:rPr>
          <w:rFonts w:ascii="Times New Roman" w:hAnsi="Times New Roman" w:cs="Times New Roman"/>
          <w:sz w:val="24"/>
          <w:szCs w:val="24"/>
        </w:rPr>
      </w:pPr>
      <w:r>
        <w:rPr>
          <w:rFonts w:ascii="Times New Roman" w:hAnsi="Times New Roman" w:cs="Times New Roman"/>
          <w:sz w:val="24"/>
          <w:szCs w:val="24"/>
        </w:rPr>
        <w:t>Fonun yatırım dönemi sonundaki muhtemel performansı, farklı piyasa koşullarını kapsayacak şekilde en az üç farklı senaryo ile gösterilmelidir.</w:t>
      </w:r>
      <w:r w:rsidR="000F5E82">
        <w:rPr>
          <w:rFonts w:ascii="Times New Roman" w:hAnsi="Times New Roman" w:cs="Times New Roman"/>
          <w:sz w:val="24"/>
          <w:szCs w:val="24"/>
        </w:rPr>
        <w:t xml:space="preserve"> </w:t>
      </w:r>
      <w:r>
        <w:rPr>
          <w:rFonts w:ascii="Times New Roman" w:hAnsi="Times New Roman" w:cs="Times New Roman"/>
          <w:sz w:val="24"/>
          <w:szCs w:val="24"/>
        </w:rPr>
        <w:t>Ancak, opsiyonun özellikleri dikkate alınarak gerekli olması halinde</w:t>
      </w:r>
      <w:r w:rsidR="00B873F6">
        <w:rPr>
          <w:rFonts w:ascii="Times New Roman" w:hAnsi="Times New Roman" w:cs="Times New Roman"/>
          <w:sz w:val="24"/>
          <w:szCs w:val="24"/>
        </w:rPr>
        <w:t xml:space="preserve"> </w:t>
      </w:r>
      <w:r>
        <w:rPr>
          <w:rFonts w:ascii="Times New Roman" w:hAnsi="Times New Roman" w:cs="Times New Roman"/>
          <w:sz w:val="24"/>
          <w:szCs w:val="24"/>
        </w:rPr>
        <w:t>senaryo sayısı artırılmalıdır.</w:t>
      </w:r>
    </w:p>
    <w:p w:rsidR="009129F5" w:rsidRDefault="009129F5" w:rsidP="0006161B">
      <w:pPr>
        <w:pStyle w:val="ListParagraph"/>
        <w:numPr>
          <w:ilvl w:val="0"/>
          <w:numId w:val="44"/>
        </w:numPr>
        <w:jc w:val="both"/>
        <w:rPr>
          <w:rFonts w:ascii="Times New Roman" w:hAnsi="Times New Roman" w:cs="Times New Roman"/>
          <w:sz w:val="24"/>
          <w:szCs w:val="24"/>
        </w:rPr>
      </w:pPr>
      <w:r>
        <w:rPr>
          <w:rFonts w:ascii="Times New Roman" w:hAnsi="Times New Roman" w:cs="Times New Roman"/>
          <w:sz w:val="24"/>
          <w:szCs w:val="24"/>
        </w:rPr>
        <w:t>Bu senaryolar;</w:t>
      </w:r>
    </w:p>
    <w:p w:rsidR="00D37727" w:rsidRDefault="00D37727" w:rsidP="00D37727">
      <w:pPr>
        <w:pStyle w:val="ListParagraph"/>
        <w:ind w:left="1423"/>
        <w:jc w:val="both"/>
        <w:rPr>
          <w:rFonts w:ascii="Times New Roman" w:hAnsi="Times New Roman" w:cs="Times New Roman"/>
          <w:sz w:val="24"/>
          <w:szCs w:val="24"/>
        </w:rPr>
      </w:pPr>
    </w:p>
    <w:p w:rsidR="009129F5" w:rsidRDefault="009129F5" w:rsidP="0006161B">
      <w:pPr>
        <w:pStyle w:val="ListParagraph"/>
        <w:numPr>
          <w:ilvl w:val="1"/>
          <w:numId w:val="44"/>
        </w:numPr>
        <w:jc w:val="both"/>
        <w:rPr>
          <w:rFonts w:ascii="Times New Roman" w:hAnsi="Times New Roman" w:cs="Times New Roman"/>
          <w:sz w:val="24"/>
          <w:szCs w:val="24"/>
        </w:rPr>
      </w:pPr>
      <w:r>
        <w:rPr>
          <w:rFonts w:ascii="Times New Roman" w:hAnsi="Times New Roman" w:cs="Times New Roman"/>
          <w:sz w:val="24"/>
          <w:szCs w:val="24"/>
        </w:rPr>
        <w:t>Portföye alınan opsiyonun “kötümser”, “orta” ve “iyimser” piyasalardaki performansını,</w:t>
      </w:r>
    </w:p>
    <w:p w:rsidR="009129F5" w:rsidRDefault="009129F5" w:rsidP="0006161B">
      <w:pPr>
        <w:pStyle w:val="ListParagraph"/>
        <w:numPr>
          <w:ilvl w:val="1"/>
          <w:numId w:val="44"/>
        </w:numPr>
        <w:jc w:val="both"/>
        <w:rPr>
          <w:rFonts w:ascii="Times New Roman" w:hAnsi="Times New Roman" w:cs="Times New Roman"/>
          <w:sz w:val="24"/>
          <w:szCs w:val="24"/>
        </w:rPr>
      </w:pPr>
      <w:r>
        <w:rPr>
          <w:rFonts w:ascii="Times New Roman" w:hAnsi="Times New Roman" w:cs="Times New Roman"/>
          <w:sz w:val="24"/>
          <w:szCs w:val="24"/>
        </w:rPr>
        <w:t xml:space="preserve">Portföye alınan opsiyonun özellikli durumlarını (örneğin opsiyonun formülündeki üst limitler, nakavt durumları gibi) </w:t>
      </w:r>
    </w:p>
    <w:p w:rsidR="009129F5" w:rsidRPr="00C9519F" w:rsidRDefault="009129F5" w:rsidP="009129F5">
      <w:pPr>
        <w:ind w:left="708" w:firstLine="708"/>
        <w:jc w:val="both"/>
        <w:rPr>
          <w:rFonts w:ascii="Times New Roman" w:hAnsi="Times New Roman" w:cs="Times New Roman"/>
          <w:sz w:val="24"/>
          <w:szCs w:val="24"/>
        </w:rPr>
      </w:pPr>
      <w:r w:rsidRPr="00C9519F">
        <w:rPr>
          <w:rFonts w:ascii="Times New Roman" w:hAnsi="Times New Roman" w:cs="Times New Roman"/>
          <w:sz w:val="24"/>
          <w:szCs w:val="24"/>
        </w:rPr>
        <w:t>içermelidir.</w:t>
      </w:r>
    </w:p>
    <w:p w:rsidR="009129F5" w:rsidRDefault="009129F5" w:rsidP="0006161B">
      <w:pPr>
        <w:pStyle w:val="ListParagraph"/>
        <w:numPr>
          <w:ilvl w:val="0"/>
          <w:numId w:val="44"/>
        </w:numPr>
        <w:jc w:val="both"/>
        <w:rPr>
          <w:rFonts w:ascii="Times New Roman" w:hAnsi="Times New Roman" w:cs="Times New Roman"/>
          <w:sz w:val="24"/>
          <w:szCs w:val="24"/>
        </w:rPr>
      </w:pPr>
      <w:r>
        <w:rPr>
          <w:rFonts w:ascii="Times New Roman" w:hAnsi="Times New Roman" w:cs="Times New Roman"/>
          <w:sz w:val="24"/>
          <w:szCs w:val="24"/>
        </w:rPr>
        <w:t>“İyimser” ve “kötümser” senaryolardaki piyasa koşullarına ve fiyat hareketlerine ilişkin tahminler makul olmalıdır.</w:t>
      </w:r>
    </w:p>
    <w:p w:rsidR="009129F5" w:rsidRDefault="009129F5" w:rsidP="0006161B">
      <w:pPr>
        <w:pStyle w:val="ListParagraph"/>
        <w:numPr>
          <w:ilvl w:val="0"/>
          <w:numId w:val="44"/>
        </w:numPr>
        <w:jc w:val="both"/>
        <w:rPr>
          <w:rFonts w:ascii="Times New Roman" w:hAnsi="Times New Roman" w:cs="Times New Roman"/>
          <w:sz w:val="24"/>
          <w:szCs w:val="24"/>
        </w:rPr>
      </w:pPr>
      <w:r>
        <w:rPr>
          <w:rFonts w:ascii="Times New Roman" w:hAnsi="Times New Roman" w:cs="Times New Roman"/>
          <w:sz w:val="24"/>
          <w:szCs w:val="24"/>
        </w:rPr>
        <w:t>Yatırımcı bilgi formunda öncelikle “kötümser” senaryoya yer verilmelidir.</w:t>
      </w:r>
    </w:p>
    <w:p w:rsidR="009129F5" w:rsidRPr="007A2576" w:rsidRDefault="009129F5" w:rsidP="0006161B">
      <w:pPr>
        <w:pStyle w:val="ListParagraph"/>
        <w:numPr>
          <w:ilvl w:val="0"/>
          <w:numId w:val="44"/>
        </w:numPr>
        <w:jc w:val="both"/>
        <w:rPr>
          <w:rFonts w:ascii="Times New Roman" w:hAnsi="Times New Roman" w:cs="Times New Roman"/>
          <w:sz w:val="24"/>
          <w:szCs w:val="24"/>
        </w:rPr>
      </w:pPr>
      <w:r w:rsidRPr="007A2576">
        <w:rPr>
          <w:rFonts w:ascii="Times New Roman" w:hAnsi="Times New Roman" w:cs="Times New Roman"/>
          <w:sz w:val="24"/>
          <w:szCs w:val="24"/>
        </w:rPr>
        <w:t>Senaryolar sunulurken opsiyonun getirisine dayanak teşkil eden getiri hesaplama formülünün içerdiği avantaj ve dezavantajlar da kısaca açıklanmalıdır.</w:t>
      </w:r>
    </w:p>
    <w:p w:rsidR="009129F5" w:rsidRDefault="009129F5" w:rsidP="0006161B">
      <w:pPr>
        <w:pStyle w:val="ListParagraph"/>
        <w:numPr>
          <w:ilvl w:val="0"/>
          <w:numId w:val="44"/>
        </w:numPr>
        <w:jc w:val="both"/>
        <w:rPr>
          <w:rFonts w:ascii="Times New Roman" w:hAnsi="Times New Roman" w:cs="Times New Roman"/>
          <w:sz w:val="24"/>
          <w:szCs w:val="24"/>
        </w:rPr>
      </w:pPr>
      <w:r>
        <w:rPr>
          <w:rFonts w:ascii="Times New Roman" w:hAnsi="Times New Roman" w:cs="Times New Roman"/>
          <w:sz w:val="24"/>
          <w:szCs w:val="24"/>
        </w:rPr>
        <w:t>Senaryolar, yatırımcı bilgi formunun diğer bölümlerindeki bilgiler ile uyumlu olmalı ve bu bilgileri tamamlayıcı nitelikte olmalıdır.</w:t>
      </w:r>
    </w:p>
    <w:p w:rsidR="009129F5" w:rsidRDefault="009129F5" w:rsidP="0006161B">
      <w:pPr>
        <w:pStyle w:val="ListParagraph"/>
        <w:numPr>
          <w:ilvl w:val="0"/>
          <w:numId w:val="44"/>
        </w:numPr>
        <w:jc w:val="both"/>
        <w:rPr>
          <w:rFonts w:ascii="Times New Roman" w:hAnsi="Times New Roman" w:cs="Times New Roman"/>
          <w:sz w:val="24"/>
          <w:szCs w:val="24"/>
        </w:rPr>
      </w:pPr>
      <w:r>
        <w:rPr>
          <w:rFonts w:ascii="Times New Roman" w:hAnsi="Times New Roman" w:cs="Times New Roman"/>
          <w:sz w:val="24"/>
          <w:szCs w:val="24"/>
        </w:rPr>
        <w:t>S</w:t>
      </w:r>
      <w:r w:rsidRPr="000409A6">
        <w:rPr>
          <w:rFonts w:ascii="Times New Roman" w:hAnsi="Times New Roman" w:cs="Times New Roman"/>
          <w:sz w:val="24"/>
          <w:szCs w:val="24"/>
        </w:rPr>
        <w:t>enaryolar</w:t>
      </w:r>
      <w:r>
        <w:rPr>
          <w:rFonts w:ascii="Times New Roman" w:hAnsi="Times New Roman" w:cs="Times New Roman"/>
          <w:sz w:val="24"/>
          <w:szCs w:val="24"/>
        </w:rPr>
        <w:t>ın, en az yılda bir defa güncellenmesi esas olup, aşağıda yer verilen koşulların oluşması halinde de güncelleme yapılmalıdır:</w:t>
      </w:r>
    </w:p>
    <w:p w:rsidR="009129F5" w:rsidRDefault="009129F5" w:rsidP="0006161B">
      <w:pPr>
        <w:pStyle w:val="ListParagraph"/>
        <w:numPr>
          <w:ilvl w:val="1"/>
          <w:numId w:val="44"/>
        </w:numPr>
        <w:jc w:val="both"/>
        <w:rPr>
          <w:rFonts w:ascii="Times New Roman" w:hAnsi="Times New Roman" w:cs="Times New Roman"/>
          <w:sz w:val="24"/>
          <w:szCs w:val="24"/>
        </w:rPr>
      </w:pPr>
      <w:r>
        <w:rPr>
          <w:rFonts w:ascii="Times New Roman" w:hAnsi="Times New Roman" w:cs="Times New Roman"/>
          <w:sz w:val="24"/>
          <w:szCs w:val="24"/>
        </w:rPr>
        <w:t>Katılma paylarının ihraç edilmesi sonrasında piyasa koşullarının önemli ölçüde değişmesi.</w:t>
      </w:r>
    </w:p>
    <w:p w:rsidR="009129F5" w:rsidRPr="000409A6" w:rsidRDefault="009129F5" w:rsidP="0006161B">
      <w:pPr>
        <w:pStyle w:val="ListParagraph"/>
        <w:numPr>
          <w:ilvl w:val="1"/>
          <w:numId w:val="44"/>
        </w:numPr>
        <w:jc w:val="both"/>
        <w:rPr>
          <w:rFonts w:ascii="Times New Roman" w:hAnsi="Times New Roman" w:cs="Times New Roman"/>
          <w:sz w:val="24"/>
          <w:szCs w:val="24"/>
        </w:rPr>
      </w:pPr>
      <w:r>
        <w:rPr>
          <w:rFonts w:ascii="Times New Roman" w:hAnsi="Times New Roman" w:cs="Times New Roman"/>
          <w:sz w:val="24"/>
          <w:szCs w:val="24"/>
        </w:rPr>
        <w:t>Opsiyon getirisinin hesaplanmasına esas teşkil eden ve getiri hesaplama formülünün içerdiği belirli tarihlerin geçmesi.</w:t>
      </w:r>
    </w:p>
    <w:p w:rsidR="009129F5" w:rsidRDefault="009129F5" w:rsidP="009129F5">
      <w:pPr>
        <w:ind w:left="708"/>
        <w:jc w:val="both"/>
        <w:rPr>
          <w:rFonts w:ascii="Times New Roman" w:hAnsi="Times New Roman" w:cs="Times New Roman"/>
          <w:sz w:val="24"/>
          <w:szCs w:val="24"/>
        </w:rPr>
      </w:pPr>
      <w:r>
        <w:rPr>
          <w:rFonts w:ascii="Times New Roman" w:hAnsi="Times New Roman" w:cs="Times New Roman"/>
          <w:sz w:val="24"/>
          <w:szCs w:val="24"/>
        </w:rPr>
        <w:t>Senaryoların sunumu ise aşağıda yer verilen esaslar çerçevesinde yapılır:</w:t>
      </w:r>
    </w:p>
    <w:p w:rsidR="009129F5" w:rsidRDefault="009129F5" w:rsidP="0006161B">
      <w:pPr>
        <w:pStyle w:val="ListParagraph"/>
        <w:numPr>
          <w:ilvl w:val="0"/>
          <w:numId w:val="45"/>
        </w:numPr>
        <w:ind w:left="1418"/>
        <w:jc w:val="both"/>
        <w:rPr>
          <w:rFonts w:ascii="Times New Roman" w:hAnsi="Times New Roman" w:cs="Times New Roman"/>
          <w:sz w:val="24"/>
          <w:szCs w:val="24"/>
        </w:rPr>
      </w:pPr>
      <w:r>
        <w:rPr>
          <w:rFonts w:ascii="Times New Roman" w:hAnsi="Times New Roman" w:cs="Times New Roman"/>
          <w:sz w:val="24"/>
          <w:szCs w:val="24"/>
        </w:rPr>
        <w:t xml:space="preserve">Senaryolar, “örnek senaryolar” olarak isimlendirilir. Söz konusu senaryoların geleceğe yönelik tahminler olmadığı ve gerçekleşme olasılıklarının eşit olmadığı ifade edilir. Ayrıca, yatırım dönemi </w:t>
      </w:r>
      <w:r w:rsidR="00FA7E78">
        <w:rPr>
          <w:rFonts w:ascii="Times New Roman" w:hAnsi="Times New Roman" w:cs="Times New Roman"/>
          <w:sz w:val="24"/>
          <w:szCs w:val="24"/>
        </w:rPr>
        <w:t xml:space="preserve">sona ermeden </w:t>
      </w:r>
      <w:r>
        <w:rPr>
          <w:rFonts w:ascii="Times New Roman" w:hAnsi="Times New Roman" w:cs="Times New Roman"/>
          <w:sz w:val="24"/>
          <w:szCs w:val="24"/>
        </w:rPr>
        <w:t>fondan çıkılması halinde getirinin, opsiyon getirisine esas olan getiri formülündeki esaslar yerine çıkış tarihindeki piyasa koşulları dikkate alınarak hesaplandığı da açıklanır.</w:t>
      </w:r>
    </w:p>
    <w:p w:rsidR="009129F5" w:rsidRDefault="009129F5" w:rsidP="0006161B">
      <w:pPr>
        <w:pStyle w:val="ListParagraph"/>
        <w:numPr>
          <w:ilvl w:val="0"/>
          <w:numId w:val="45"/>
        </w:numPr>
        <w:ind w:left="1418"/>
        <w:jc w:val="both"/>
        <w:rPr>
          <w:rFonts w:ascii="Times New Roman" w:hAnsi="Times New Roman" w:cs="Times New Roman"/>
          <w:sz w:val="24"/>
          <w:szCs w:val="24"/>
        </w:rPr>
      </w:pPr>
      <w:r w:rsidRPr="00D130A0">
        <w:rPr>
          <w:rFonts w:ascii="Times New Roman" w:hAnsi="Times New Roman" w:cs="Times New Roman"/>
          <w:sz w:val="24"/>
          <w:szCs w:val="24"/>
        </w:rPr>
        <w:t xml:space="preserve">Her </w:t>
      </w:r>
      <w:r>
        <w:rPr>
          <w:rFonts w:ascii="Times New Roman" w:hAnsi="Times New Roman" w:cs="Times New Roman"/>
          <w:sz w:val="24"/>
          <w:szCs w:val="24"/>
        </w:rPr>
        <w:t>senaryo, fonun performansını en iyi gösterecek şekilde tablo veya grafik içermelidir</w:t>
      </w:r>
      <w:r w:rsidR="00FA7E78">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w:t>
      </w:r>
    </w:p>
    <w:p w:rsidR="009129F5" w:rsidRPr="00B41810" w:rsidRDefault="009129F5" w:rsidP="0006161B">
      <w:pPr>
        <w:pStyle w:val="ListParagraph"/>
        <w:numPr>
          <w:ilvl w:val="0"/>
          <w:numId w:val="45"/>
        </w:numPr>
        <w:ind w:left="1418"/>
        <w:jc w:val="both"/>
        <w:rPr>
          <w:rFonts w:ascii="Times New Roman" w:hAnsi="Times New Roman" w:cs="Times New Roman"/>
          <w:b/>
          <w:color w:val="000000"/>
          <w:sz w:val="24"/>
          <w:szCs w:val="24"/>
          <w:lang w:eastAsia="tr-TR"/>
        </w:rPr>
      </w:pPr>
      <w:r>
        <w:rPr>
          <w:rFonts w:ascii="Times New Roman" w:hAnsi="Times New Roman" w:cs="Times New Roman"/>
          <w:sz w:val="24"/>
          <w:szCs w:val="24"/>
        </w:rPr>
        <w:t>Senaryolar</w:t>
      </w:r>
      <w:r w:rsidR="00B873F6">
        <w:rPr>
          <w:rFonts w:ascii="Times New Roman" w:hAnsi="Times New Roman" w:cs="Times New Roman"/>
          <w:sz w:val="24"/>
          <w:szCs w:val="24"/>
        </w:rPr>
        <w:t xml:space="preserve"> </w:t>
      </w:r>
      <w:r>
        <w:rPr>
          <w:rFonts w:ascii="Times New Roman" w:hAnsi="Times New Roman" w:cs="Times New Roman"/>
          <w:sz w:val="24"/>
          <w:szCs w:val="24"/>
        </w:rPr>
        <w:t xml:space="preserve">için kullanılan grafiklerin yatırımcılar tarafından karşılaştırma yapılmasına imkan sağlaması ve yanıltıcı olmaması gerekir. </w:t>
      </w:r>
    </w:p>
    <w:p w:rsidR="00B61011" w:rsidRDefault="00B61011" w:rsidP="00B41810">
      <w:pPr>
        <w:pStyle w:val="ListParagraph"/>
        <w:ind w:left="1418"/>
        <w:jc w:val="both"/>
        <w:rPr>
          <w:rFonts w:ascii="Times New Roman" w:hAnsi="Times New Roman" w:cs="Times New Roman"/>
          <w:b/>
          <w:color w:val="000000"/>
          <w:sz w:val="24"/>
          <w:szCs w:val="24"/>
          <w:lang w:eastAsia="tr-TR"/>
        </w:rPr>
      </w:pPr>
    </w:p>
    <w:p w:rsidR="00B41810" w:rsidRDefault="000C6C1D" w:rsidP="004152F5">
      <w:pPr>
        <w:pStyle w:val="Heading3"/>
        <w:spacing w:after="240"/>
      </w:pPr>
      <w:bookmarkStart w:id="290" w:name="_Toc130312626"/>
      <w:bookmarkStart w:id="291" w:name="_Toc130312759"/>
      <w:r>
        <w:t>9</w:t>
      </w:r>
      <w:r w:rsidR="009F3445">
        <w:t>.3</w:t>
      </w:r>
      <w:r w:rsidR="00B41810">
        <w:t xml:space="preserve">.2. </w:t>
      </w:r>
      <w:r w:rsidR="00757B0E">
        <w:t xml:space="preserve">Fonun </w:t>
      </w:r>
      <w:r w:rsidR="00B41810" w:rsidRPr="0052619E">
        <w:t>Risk Değeri</w:t>
      </w:r>
      <w:r w:rsidR="00757B0E">
        <w:t>’nin Hesaplanma Esasları</w:t>
      </w:r>
      <w:bookmarkEnd w:id="290"/>
      <w:bookmarkEnd w:id="291"/>
    </w:p>
    <w:p w:rsidR="00B41810" w:rsidRDefault="00B41810" w:rsidP="00B41810">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Fon Tebliği’nin 12</w:t>
      </w:r>
      <w:r w:rsidR="004152F5">
        <w:rPr>
          <w:rFonts w:ascii="Times New Roman" w:hAnsi="Times New Roman" w:cs="Times New Roman"/>
          <w:color w:val="000000"/>
          <w:sz w:val="24"/>
          <w:szCs w:val="24"/>
        </w:rPr>
        <w:t>’nci</w:t>
      </w:r>
      <w:r>
        <w:rPr>
          <w:rFonts w:ascii="Times New Roman" w:hAnsi="Times New Roman" w:cs="Times New Roman"/>
          <w:color w:val="000000"/>
          <w:sz w:val="24"/>
          <w:szCs w:val="24"/>
        </w:rPr>
        <w:t xml:space="preserve"> maddesi çerçevesinde </w:t>
      </w:r>
      <w:r w:rsidR="00842ECB">
        <w:rPr>
          <w:rFonts w:ascii="Times New Roman" w:hAnsi="Times New Roman" w:cs="Times New Roman"/>
          <w:color w:val="000000"/>
          <w:sz w:val="24"/>
          <w:szCs w:val="24"/>
        </w:rPr>
        <w:t xml:space="preserve">hazırlanan </w:t>
      </w:r>
      <w:r>
        <w:rPr>
          <w:rFonts w:ascii="Times New Roman" w:hAnsi="Times New Roman" w:cs="Times New Roman"/>
          <w:color w:val="000000"/>
          <w:sz w:val="24"/>
          <w:szCs w:val="24"/>
        </w:rPr>
        <w:t>yatırımcı bilgi formunda</w:t>
      </w:r>
      <w:r w:rsidR="00842ECB">
        <w:rPr>
          <w:rFonts w:ascii="Times New Roman" w:hAnsi="Times New Roman" w:cs="Times New Roman"/>
          <w:color w:val="000000"/>
          <w:sz w:val="24"/>
          <w:szCs w:val="24"/>
        </w:rPr>
        <w:t>ki</w:t>
      </w:r>
      <w:r>
        <w:rPr>
          <w:rFonts w:ascii="Times New Roman" w:hAnsi="Times New Roman" w:cs="Times New Roman"/>
          <w:color w:val="000000"/>
          <w:sz w:val="24"/>
          <w:szCs w:val="24"/>
        </w:rPr>
        <w:t xml:space="preserve"> “risk ve getiri profili”</w:t>
      </w:r>
      <w:r w:rsidR="00280CD8">
        <w:rPr>
          <w:rFonts w:ascii="Times New Roman" w:hAnsi="Times New Roman" w:cs="Times New Roman"/>
          <w:color w:val="000000"/>
          <w:sz w:val="24"/>
          <w:szCs w:val="24"/>
        </w:rPr>
        <w:t xml:space="preserve"> </w:t>
      </w:r>
      <w:r w:rsidR="00842ECB">
        <w:rPr>
          <w:rFonts w:ascii="Times New Roman" w:hAnsi="Times New Roman" w:cs="Times New Roman"/>
          <w:color w:val="000000"/>
          <w:sz w:val="24"/>
          <w:szCs w:val="24"/>
        </w:rPr>
        <w:t>bölümünde yer verilen fon risk değerinin (RD) hesaplanmasına</w:t>
      </w:r>
      <w:r>
        <w:rPr>
          <w:rFonts w:ascii="Times New Roman" w:hAnsi="Times New Roman" w:cs="Times New Roman"/>
          <w:color w:val="000000"/>
          <w:sz w:val="24"/>
          <w:szCs w:val="24"/>
        </w:rPr>
        <w:t xml:space="preserve"> ilişkin olarak aşağıdaki esaslara uyulur</w:t>
      </w:r>
      <w:r w:rsidR="004152F5">
        <w:rPr>
          <w:rFonts w:ascii="Times New Roman" w:hAnsi="Times New Roman" w:cs="Times New Roman"/>
          <w:color w:val="000000"/>
          <w:sz w:val="24"/>
          <w:szCs w:val="24"/>
        </w:rPr>
        <w:t>.</w:t>
      </w:r>
    </w:p>
    <w:p w:rsidR="00B41810" w:rsidRPr="00AE21A6" w:rsidRDefault="00B41810" w:rsidP="00B41810">
      <w:pPr>
        <w:ind w:firstLine="708"/>
        <w:jc w:val="both"/>
        <w:rPr>
          <w:rFonts w:ascii="Times New Roman" w:hAnsi="Times New Roman" w:cs="Times New Roman"/>
          <w:color w:val="000000"/>
          <w:sz w:val="24"/>
          <w:szCs w:val="24"/>
        </w:rPr>
      </w:pPr>
      <w:r w:rsidRPr="00AE21A6">
        <w:rPr>
          <w:rFonts w:ascii="Times New Roman" w:hAnsi="Times New Roman" w:cs="Times New Roman"/>
          <w:color w:val="000000"/>
          <w:sz w:val="24"/>
          <w:szCs w:val="24"/>
        </w:rPr>
        <w:t>Kurucu/Yönetici tarafından risk değerinin hesaplanmasında fonun risk yönetim sisteminde belirlenen prosedürler dikkate alınır ve devamlı olarak takibi yapılır.</w:t>
      </w:r>
    </w:p>
    <w:p w:rsidR="00B41810" w:rsidRDefault="00B41810" w:rsidP="00B41810">
      <w:pPr>
        <w:ind w:firstLine="708"/>
        <w:jc w:val="both"/>
        <w:rPr>
          <w:rFonts w:ascii="Times New Roman" w:hAnsi="Times New Roman" w:cs="Times New Roman"/>
          <w:color w:val="000000"/>
          <w:sz w:val="24"/>
          <w:szCs w:val="24"/>
        </w:rPr>
      </w:pPr>
      <w:r w:rsidRPr="00AE21A6">
        <w:rPr>
          <w:rFonts w:ascii="Times New Roman" w:hAnsi="Times New Roman" w:cs="Times New Roman"/>
          <w:color w:val="000000"/>
          <w:sz w:val="24"/>
          <w:szCs w:val="24"/>
        </w:rPr>
        <w:t xml:space="preserve">RD hesaplamasına ve hesaplamada meydana gelen değişikliklere ilişkin kayıtlar </w:t>
      </w:r>
      <w:r w:rsidR="00140E84" w:rsidRPr="00AE21A6">
        <w:rPr>
          <w:rFonts w:ascii="Times New Roman" w:hAnsi="Times New Roman" w:cs="Times New Roman"/>
          <w:color w:val="000000"/>
          <w:sz w:val="24"/>
          <w:szCs w:val="24"/>
        </w:rPr>
        <w:t>en az 5 yıl</w:t>
      </w:r>
      <w:r w:rsidRPr="00AE21A6">
        <w:rPr>
          <w:rFonts w:ascii="Times New Roman" w:hAnsi="Times New Roman" w:cs="Times New Roman"/>
          <w:color w:val="000000"/>
          <w:sz w:val="24"/>
          <w:szCs w:val="24"/>
        </w:rPr>
        <w:t xml:space="preserve"> Kurucu/Yönetici nezdinde saklanır.</w:t>
      </w:r>
    </w:p>
    <w:p w:rsidR="00B41810" w:rsidRPr="00B41810" w:rsidRDefault="000C6C1D" w:rsidP="004152F5">
      <w:pPr>
        <w:pStyle w:val="Heading4"/>
        <w:spacing w:after="240"/>
        <w:rPr>
          <w:i w:val="0"/>
        </w:rPr>
      </w:pPr>
      <w:r>
        <w:rPr>
          <w:i w:val="0"/>
        </w:rPr>
        <w:t>9</w:t>
      </w:r>
      <w:r w:rsidR="009F3445">
        <w:rPr>
          <w:i w:val="0"/>
        </w:rPr>
        <w:t>.3</w:t>
      </w:r>
      <w:r w:rsidR="00B41810" w:rsidRPr="00B41810">
        <w:rPr>
          <w:i w:val="0"/>
        </w:rPr>
        <w:t>.2.1. RD Hesaplama Yöntemi (Genel Yöntem)</w:t>
      </w:r>
    </w:p>
    <w:p w:rsidR="00B41810" w:rsidRPr="002619CE" w:rsidRDefault="00B41810" w:rsidP="0006161B">
      <w:pPr>
        <w:pStyle w:val="ListParagraph"/>
        <w:numPr>
          <w:ilvl w:val="0"/>
          <w:numId w:val="17"/>
        </w:numPr>
        <w:jc w:val="both"/>
        <w:rPr>
          <w:rFonts w:ascii="Times New Roman" w:hAnsi="Times New Roman" w:cs="Times New Roman"/>
          <w:color w:val="000000"/>
          <w:sz w:val="24"/>
          <w:szCs w:val="24"/>
        </w:rPr>
      </w:pPr>
      <w:r>
        <w:rPr>
          <w:rFonts w:ascii="Times New Roman" w:hAnsi="Times New Roman" w:cs="Times New Roman"/>
          <w:color w:val="000000"/>
          <w:sz w:val="24"/>
          <w:szCs w:val="24"/>
        </w:rPr>
        <w:t>RD,</w:t>
      </w:r>
      <w:r w:rsidR="00B873F6">
        <w:rPr>
          <w:rFonts w:ascii="Times New Roman" w:hAnsi="Times New Roman" w:cs="Times New Roman"/>
          <w:color w:val="000000"/>
          <w:sz w:val="24"/>
          <w:szCs w:val="24"/>
        </w:rPr>
        <w:t xml:space="preserve"> </w:t>
      </w:r>
      <w:r w:rsidRPr="00072AD5">
        <w:rPr>
          <w:rFonts w:ascii="Times New Roman" w:hAnsi="Times New Roman" w:cs="Times New Roman"/>
          <w:color w:val="000000"/>
          <w:sz w:val="24"/>
          <w:szCs w:val="24"/>
        </w:rPr>
        <w:t>fonun volatilitesi dikkate alınarak hesaplanır.</w:t>
      </w:r>
    </w:p>
    <w:p w:rsidR="00B41810" w:rsidRPr="002619CE" w:rsidRDefault="00B41810" w:rsidP="0006161B">
      <w:pPr>
        <w:pStyle w:val="ListParagraph"/>
        <w:numPr>
          <w:ilvl w:val="0"/>
          <w:numId w:val="17"/>
        </w:numPr>
        <w:jc w:val="both"/>
        <w:rPr>
          <w:rFonts w:ascii="Times New Roman" w:hAnsi="Times New Roman" w:cs="Times New Roman"/>
          <w:color w:val="000000"/>
          <w:sz w:val="24"/>
          <w:szCs w:val="24"/>
        </w:rPr>
      </w:pPr>
      <w:r w:rsidRPr="002619CE">
        <w:rPr>
          <w:rFonts w:ascii="Times New Roman" w:hAnsi="Times New Roman" w:cs="Times New Roman"/>
          <w:color w:val="000000"/>
          <w:sz w:val="24"/>
          <w:szCs w:val="24"/>
        </w:rPr>
        <w:t>Volatilite, haftalık getiriler</w:t>
      </w:r>
      <w:r w:rsidR="00634DC7">
        <w:rPr>
          <w:rStyle w:val="FootnoteReference"/>
          <w:rFonts w:ascii="Times New Roman" w:hAnsi="Times New Roman" w:cs="Times New Roman"/>
          <w:color w:val="000000"/>
          <w:sz w:val="24"/>
          <w:szCs w:val="24"/>
        </w:rPr>
        <w:footnoteReference w:id="23"/>
      </w:r>
      <w:r w:rsidRPr="002619CE">
        <w:rPr>
          <w:rFonts w:ascii="Times New Roman" w:hAnsi="Times New Roman" w:cs="Times New Roman"/>
          <w:color w:val="000000"/>
          <w:sz w:val="24"/>
          <w:szCs w:val="24"/>
        </w:rPr>
        <w:t xml:space="preserve"> kullanılarak hesaplanır. Koruma amaçlı ve garantili fonlar için ise iki haftalık verilerin dikkate alınması gerekir. </w:t>
      </w:r>
    </w:p>
    <w:p w:rsidR="00B41810" w:rsidRPr="002619CE" w:rsidRDefault="00B41810" w:rsidP="0006161B">
      <w:pPr>
        <w:pStyle w:val="ListParagraph"/>
        <w:numPr>
          <w:ilvl w:val="0"/>
          <w:numId w:val="17"/>
        </w:numPr>
        <w:spacing w:after="0"/>
        <w:jc w:val="both"/>
        <w:rPr>
          <w:rFonts w:ascii="Times New Roman" w:hAnsi="Times New Roman" w:cs="Times New Roman"/>
          <w:color w:val="000000"/>
          <w:sz w:val="24"/>
          <w:szCs w:val="24"/>
        </w:rPr>
      </w:pPr>
      <w:r w:rsidRPr="002619CE">
        <w:rPr>
          <w:rFonts w:ascii="Times New Roman" w:hAnsi="Times New Roman" w:cs="Times New Roman"/>
          <w:color w:val="000000"/>
          <w:sz w:val="24"/>
          <w:szCs w:val="24"/>
        </w:rPr>
        <w:t>Volatilite fonun faaliyette olduğu son beş yıllık dönemdeki fon getirileri dikkate alınarak hesaplanır. Söz konusu dönemde, fondan temettü dağıtılması halinde bu husus getirilerin hesaplanmasında dikkate alınır.</w:t>
      </w:r>
    </w:p>
    <w:p w:rsidR="00B41810" w:rsidRDefault="00B41810" w:rsidP="00B41810">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4- Haftalık getiriler kullanılarak hesaplanan volatilite, aşağıdaki yöntemle yıllık baza çevrilir:</w:t>
      </w:r>
    </w:p>
    <w:p w:rsidR="00B41810" w:rsidRDefault="00B41810" w:rsidP="00B41810">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B41810" w:rsidRPr="0081469A" w:rsidRDefault="00907849" w:rsidP="00B41810">
      <w:pPr>
        <w:spacing w:after="0"/>
        <w:ind w:firstLine="708"/>
        <w:jc w:val="center"/>
        <w:rPr>
          <w:rFonts w:ascii="Times New Roman" w:eastAsiaTheme="minorEastAsia" w:hAnsi="Times New Roman" w:cs="Times New Roman"/>
          <w:color w:val="000000"/>
          <w:sz w:val="24"/>
          <w:szCs w:val="24"/>
        </w:rPr>
      </w:pPr>
      <m:oMathPara>
        <m:oMath>
          <m:sSub>
            <m:sSubPr>
              <m:ctrlPr>
                <w:rPr>
                  <w:rFonts w:ascii="Cambria Math" w:hAnsi="Cambria Math" w:cs="Cambria Math"/>
                  <w:i/>
                  <w:color w:val="000000"/>
                  <w:sz w:val="24"/>
                  <w:szCs w:val="24"/>
                </w:rPr>
              </m:ctrlPr>
            </m:sSubPr>
            <m:e>
              <m:r>
                <w:rPr>
                  <w:rFonts w:ascii="Cambria Math" w:hAnsi="Cambria Math" w:cs="Cambria Math"/>
                  <w:color w:val="000000"/>
                  <w:sz w:val="24"/>
                  <w:szCs w:val="24"/>
                </w:rPr>
                <m:t>σ</m:t>
              </m:r>
            </m:e>
            <m:sub>
              <m:r>
                <w:rPr>
                  <w:rFonts w:ascii="Cambria Math" w:hAnsi="Cambria Math" w:cs="Cambria Math"/>
                  <w:color w:val="000000"/>
                  <w:sz w:val="24"/>
                  <w:szCs w:val="24"/>
                </w:rPr>
                <m:t>f</m:t>
              </m:r>
            </m:sub>
          </m:sSub>
          <m:r>
            <m:rPr>
              <m:sty m:val="p"/>
            </m:rPr>
            <w:rPr>
              <w:rFonts w:ascii="Cambria Math" w:hAnsi="Cambria Math" w:cs="Cambria Math"/>
              <w:color w:val="000000"/>
              <w:sz w:val="24"/>
              <w:szCs w:val="24"/>
            </w:rPr>
            <m:t>=</m:t>
          </m:r>
          <m:rad>
            <m:radPr>
              <m:degHide m:val="1"/>
              <m:ctrlPr>
                <w:rPr>
                  <w:rFonts w:ascii="Cambria Math" w:hAnsi="Cambria Math" w:cs="Times New Roman"/>
                  <w:color w:val="000000"/>
                  <w:sz w:val="24"/>
                  <w:szCs w:val="24"/>
                </w:rPr>
              </m:ctrlPr>
            </m:radPr>
            <m:deg/>
            <m:e>
              <m:f>
                <m:fPr>
                  <m:ctrlPr>
                    <w:rPr>
                      <w:rFonts w:ascii="Cambria Math" w:hAnsi="Cambria Math" w:cs="Times New Roman"/>
                      <w:i/>
                      <w:color w:val="000000"/>
                      <w:sz w:val="24"/>
                      <w:szCs w:val="24"/>
                    </w:rPr>
                  </m:ctrlPr>
                </m:fPr>
                <m:num>
                  <m:r>
                    <w:rPr>
                      <w:rFonts w:ascii="Cambria Math" w:hAnsi="Cambria Math" w:cs="Times New Roman"/>
                      <w:color w:val="000000"/>
                      <w:sz w:val="24"/>
                      <w:szCs w:val="24"/>
                    </w:rPr>
                    <m:t>m</m:t>
                  </m:r>
                </m:num>
                <m:den>
                  <m:r>
                    <w:rPr>
                      <w:rFonts w:ascii="Cambria Math" w:hAnsi="Cambria Math" w:cs="Times New Roman"/>
                      <w:color w:val="000000"/>
                      <w:sz w:val="24"/>
                      <w:szCs w:val="24"/>
                    </w:rPr>
                    <m:t>T-1</m:t>
                  </m:r>
                </m:den>
              </m:f>
              <m:nary>
                <m:naryPr>
                  <m:chr m:val="∑"/>
                  <m:limLoc m:val="undOvr"/>
                  <m:ctrlPr>
                    <w:rPr>
                      <w:rFonts w:ascii="Cambria Math" w:hAnsi="Cambria Math" w:cs="Times New Roman"/>
                      <w:i/>
                      <w:color w:val="000000"/>
                      <w:sz w:val="24"/>
                      <w:szCs w:val="24"/>
                    </w:rPr>
                  </m:ctrlPr>
                </m:naryPr>
                <m:sub>
                  <m:r>
                    <w:rPr>
                      <w:rFonts w:ascii="Cambria Math" w:hAnsi="Cambria Math" w:cs="Times New Roman"/>
                      <w:color w:val="000000"/>
                      <w:sz w:val="24"/>
                      <w:szCs w:val="24"/>
                    </w:rPr>
                    <m:t>t=1</m:t>
                  </m:r>
                </m:sub>
                <m:sup>
                  <m:r>
                    <w:rPr>
                      <w:rFonts w:ascii="Cambria Math" w:hAnsi="Cambria Math" w:cs="Times New Roman"/>
                      <w:color w:val="000000"/>
                      <w:sz w:val="24"/>
                      <w:szCs w:val="24"/>
                    </w:rPr>
                    <m:t>T</m:t>
                  </m:r>
                </m:sup>
                <m:e>
                  <m:sSup>
                    <m:sSupPr>
                      <m:ctrlPr>
                        <w:rPr>
                          <w:rFonts w:ascii="Cambria Math" w:hAnsi="Cambria Math" w:cs="Times New Roman"/>
                          <w:i/>
                          <w:color w:val="000000"/>
                          <w:sz w:val="24"/>
                          <w:szCs w:val="24"/>
                        </w:rPr>
                      </m:ctrlPr>
                    </m:sSupPr>
                    <m:e>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(r</m:t>
                          </m:r>
                        </m:e>
                        <m:sub>
                          <m:r>
                            <w:rPr>
                              <w:rFonts w:ascii="Cambria Math" w:hAnsi="Cambria Math" w:cs="Times New Roman"/>
                              <w:color w:val="000000"/>
                              <w:sz w:val="24"/>
                              <w:szCs w:val="24"/>
                            </w:rPr>
                            <m:t>f, t</m:t>
                          </m:r>
                        </m:sub>
                      </m:sSub>
                      <m:r>
                        <w:rPr>
                          <w:rFonts w:ascii="Cambria Math" w:hAnsi="Cambria Math" w:cs="Times New Roman"/>
                          <w:color w:val="000000"/>
                          <w:sz w:val="24"/>
                          <w:szCs w:val="24"/>
                        </w:rPr>
                        <m:t>-</m:t>
                      </m:r>
                      <m:bar>
                        <m:barPr>
                          <m:pos m:val="top"/>
                          <m:ctrlPr>
                            <w:rPr>
                              <w:rFonts w:ascii="Cambria Math" w:hAnsi="Cambria Math" w:cs="Times New Roman"/>
                              <w:i/>
                              <w:color w:val="000000"/>
                              <w:sz w:val="24"/>
                              <w:szCs w:val="24"/>
                            </w:rPr>
                          </m:ctrlPr>
                        </m:barPr>
                        <m:e>
                          <m:r>
                            <w:rPr>
                              <w:rFonts w:ascii="Cambria Math" w:hAnsi="Cambria Math" w:cs="Times New Roman"/>
                              <w:color w:val="000000"/>
                              <w:sz w:val="24"/>
                              <w:szCs w:val="24"/>
                            </w:rPr>
                            <m:t>r</m:t>
                          </m:r>
                        </m:e>
                      </m:bar>
                      <m:r>
                        <w:rPr>
                          <w:rFonts w:ascii="Cambria Math" w:hAnsi="Cambria Math" w:cs="Times New Roman"/>
                          <w:color w:val="000000"/>
                          <w:sz w:val="24"/>
                          <w:szCs w:val="24"/>
                        </w:rPr>
                        <m:t>)</m:t>
                      </m:r>
                    </m:e>
                    <m:sup>
                      <m:r>
                        <w:rPr>
                          <w:rFonts w:ascii="Cambria Math" w:hAnsi="Cambria Math" w:cs="Times New Roman"/>
                          <w:color w:val="000000"/>
                          <w:sz w:val="24"/>
                          <w:szCs w:val="24"/>
                        </w:rPr>
                        <m:t>2</m:t>
                      </m:r>
                    </m:sup>
                  </m:sSup>
                </m:e>
              </m:nary>
            </m:e>
          </m:rad>
        </m:oMath>
      </m:oMathPara>
    </w:p>
    <w:p w:rsidR="00B41810" w:rsidRDefault="00B41810" w:rsidP="00B41810">
      <w:pPr>
        <w:spacing w:after="0"/>
        <w:ind w:firstLine="708"/>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Haftalık veriler kullanılması halinde;</w:t>
      </w:r>
    </w:p>
    <w:p w:rsidR="00B41810" w:rsidRPr="002619CE" w:rsidRDefault="00B41810" w:rsidP="001D2781">
      <w:pPr>
        <w:spacing w:after="0"/>
        <w:ind w:left="1416" w:firstLine="708"/>
        <w:jc w:val="center"/>
        <w:rPr>
          <w:rFonts w:ascii="Times New Roman" w:eastAsiaTheme="minorEastAsia" w:hAnsi="Times New Roman" w:cs="Times New Roman"/>
          <w:color w:val="000000"/>
          <w:sz w:val="24"/>
          <w:szCs w:val="24"/>
        </w:rPr>
      </w:pPr>
      <m:oMathPara>
        <m:oMathParaPr>
          <m:jc m:val="left"/>
        </m:oMathParaPr>
        <m:oMath>
          <m:r>
            <w:rPr>
              <w:rFonts w:ascii="Cambria Math" w:eastAsiaTheme="minorEastAsia" w:hAnsi="Cambria Math" w:cs="Times New Roman"/>
              <w:color w:val="000000"/>
              <w:sz w:val="24"/>
              <w:szCs w:val="24"/>
            </w:rPr>
            <m:t>T=260 (5 yıl içerisindeki hafta sayısı)</m:t>
          </m:r>
        </m:oMath>
      </m:oMathPara>
    </w:p>
    <w:p w:rsidR="00B41810" w:rsidRDefault="00B41810" w:rsidP="001D2781">
      <w:pPr>
        <w:spacing w:after="0"/>
        <w:ind w:left="709" w:firstLine="707"/>
        <w:rPr>
          <w:rFonts w:ascii="Times New Roman" w:eastAsiaTheme="minorEastAsia" w:hAnsi="Times New Roman" w:cs="Times New Roman"/>
          <w:color w:val="000000"/>
          <w:sz w:val="24"/>
          <w:szCs w:val="24"/>
        </w:rPr>
      </w:pPr>
      <m:oMath>
        <m:r>
          <w:rPr>
            <w:rFonts w:ascii="Cambria Math" w:eastAsiaTheme="minorEastAsia" w:hAnsi="Cambria Math" w:cs="Times New Roman"/>
            <w:color w:val="000000"/>
            <w:sz w:val="24"/>
            <w:szCs w:val="24"/>
          </w:rPr>
          <m:t>m=52</m:t>
        </m:r>
      </m:oMath>
      <w:r w:rsidDel="00281BD1">
        <w:rPr>
          <w:rFonts w:ascii="Times New Roman" w:eastAsiaTheme="minorEastAsia" w:hAnsi="Times New Roman" w:cs="Times New Roman"/>
          <w:color w:val="000000"/>
          <w:sz w:val="24"/>
          <w:szCs w:val="24"/>
        </w:rPr>
        <w:t xml:space="preserve">, </w:t>
      </w:r>
    </w:p>
    <w:p w:rsidR="00B41810" w:rsidRPr="002619CE" w:rsidRDefault="00907849" w:rsidP="00B41810">
      <w:pPr>
        <w:spacing w:after="0"/>
        <w:ind w:left="709"/>
        <w:rPr>
          <w:rFonts w:ascii="Times New Roman" w:eastAsiaTheme="minorEastAsia" w:hAnsi="Times New Roman" w:cs="Times New Roman"/>
          <w:color w:val="000000"/>
          <w:sz w:val="24"/>
          <w:szCs w:val="24"/>
        </w:rPr>
      </w:pPr>
      <m:oMathPara>
        <m:oMath>
          <m:bar>
            <m:barPr>
              <m:pos m:val="top"/>
              <m:ctrlPr>
                <w:rPr>
                  <w:rFonts w:ascii="Cambria Math" w:eastAsiaTheme="minorEastAsia" w:hAnsi="Cambria Math" w:cs="Times New Roman"/>
                  <w:i/>
                  <w:color w:val="000000"/>
                  <w:sz w:val="24"/>
                  <w:szCs w:val="24"/>
                </w:rPr>
              </m:ctrlPr>
            </m:barPr>
            <m:e>
              <m:r>
                <w:rPr>
                  <w:rFonts w:ascii="Cambria Math" w:eastAsiaTheme="minorEastAsia" w:hAnsi="Cambria Math" w:cs="Times New Roman"/>
                  <w:color w:val="000000"/>
                  <w:sz w:val="24"/>
                  <w:szCs w:val="24"/>
                </w:rPr>
                <m:t>r</m:t>
              </m:r>
            </m:e>
          </m:bar>
          <m:r>
            <w:rPr>
              <w:rFonts w:ascii="Cambria Math" w:eastAsiaTheme="minorEastAsia" w:hAnsi="Cambria Math" w:cs="Times New Roman"/>
              <w:color w:val="000000"/>
              <w:sz w:val="24"/>
              <w:szCs w:val="24"/>
            </w:rPr>
            <m:t>=</m:t>
          </m:r>
          <m:r>
            <m:rPr>
              <m:sty m:val="p"/>
            </m:rPr>
            <w:rPr>
              <w:rFonts w:ascii="Cambria Math" w:eastAsiaTheme="minorEastAsia" w:hAnsi="Cambria Math" w:cs="Times New Roman"/>
              <w:color w:val="000000"/>
              <w:sz w:val="24"/>
              <w:szCs w:val="24"/>
            </w:rPr>
            <m:t xml:space="preserve">5 </m:t>
          </m:r>
          <m:r>
            <w:rPr>
              <w:rFonts w:ascii="Cambria Math" w:eastAsiaTheme="minorEastAsia" w:hAnsi="Cambria Math" w:cs="Times New Roman"/>
              <w:color w:val="000000"/>
              <w:sz w:val="24"/>
              <w:szCs w:val="24"/>
            </w:rPr>
            <m:t>yıllık dönem içerisindeki haftalık getirilerin aritmetik ortalaması</m:t>
          </m:r>
        </m:oMath>
      </m:oMathPara>
    </w:p>
    <w:p w:rsidR="00B41810" w:rsidRPr="002619CE" w:rsidRDefault="00B41810" w:rsidP="00B41810">
      <w:pPr>
        <w:spacing w:after="0"/>
        <w:ind w:left="709"/>
        <w:rPr>
          <w:rFonts w:ascii="Times New Roman" w:eastAsiaTheme="minorEastAsia" w:hAnsi="Times New Roman" w:cs="Times New Roman"/>
          <w:color w:val="000000"/>
          <w:sz w:val="24"/>
          <w:szCs w:val="24"/>
        </w:rPr>
      </w:pPr>
    </w:p>
    <w:p w:rsidR="00B41810" w:rsidRDefault="00B41810" w:rsidP="00B41810">
      <w:pPr>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t>5-RD</w:t>
      </w:r>
      <w:r w:rsidRPr="008703C4">
        <w:rPr>
          <w:rFonts w:ascii="Times New Roman" w:hAnsi="Times New Roman" w:cs="Times New Roman"/>
          <w:color w:val="000000"/>
          <w:sz w:val="24"/>
          <w:szCs w:val="24"/>
        </w:rPr>
        <w:t>, 1 ila 7 arasında bir değer alır. 1 en düşük volatilite seviyesini</w:t>
      </w:r>
      <w:r w:rsidR="00580AF4">
        <w:rPr>
          <w:rFonts w:ascii="Times New Roman" w:hAnsi="Times New Roman" w:cs="Times New Roman"/>
          <w:color w:val="000000"/>
          <w:sz w:val="24"/>
          <w:szCs w:val="24"/>
        </w:rPr>
        <w:t>,</w:t>
      </w:r>
      <w:r w:rsidRPr="008703C4">
        <w:rPr>
          <w:rFonts w:ascii="Times New Roman" w:hAnsi="Times New Roman" w:cs="Times New Roman"/>
          <w:color w:val="000000"/>
          <w:sz w:val="24"/>
          <w:szCs w:val="24"/>
        </w:rPr>
        <w:t xml:space="preserve"> 7 ise en yüksek volatilite seviyesini gösterir.</w:t>
      </w:r>
    </w:p>
    <w:p w:rsidR="00B41810" w:rsidRDefault="00B41810" w:rsidP="00B41810">
      <w:pPr>
        <w:spacing w:after="0"/>
        <w:ind w:firstLine="708"/>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6- Volatilite aralıklarının karşılık geldiği risk değeri aşağıdaki tabloda yer almaktadır:</w:t>
      </w:r>
    </w:p>
    <w:p w:rsidR="001D2781" w:rsidRDefault="001D2781" w:rsidP="00B41810">
      <w:pPr>
        <w:spacing w:after="0"/>
        <w:ind w:firstLine="708"/>
        <w:jc w:val="both"/>
        <w:rPr>
          <w:rFonts w:ascii="Times New Roman" w:eastAsiaTheme="minorEastAsia" w:hAnsi="Times New Roman" w:cs="Times New Roman"/>
          <w:color w:val="000000"/>
          <w:sz w:val="24"/>
          <w:szCs w:val="24"/>
        </w:rPr>
      </w:pPr>
    </w:p>
    <w:tbl>
      <w:tblPr>
        <w:tblStyle w:val="TableGrid"/>
        <w:tblW w:w="0" w:type="auto"/>
        <w:tblInd w:w="1979" w:type="dxa"/>
        <w:tblLook w:val="04A0" w:firstRow="1" w:lastRow="0" w:firstColumn="1" w:lastColumn="0" w:noHBand="0" w:noVBand="1"/>
      </w:tblPr>
      <w:tblGrid>
        <w:gridCol w:w="1838"/>
        <w:gridCol w:w="1559"/>
        <w:gridCol w:w="1701"/>
      </w:tblGrid>
      <w:tr w:rsidR="00B41810" w:rsidTr="00B41810">
        <w:trPr>
          <w:trHeight w:val="268"/>
        </w:trPr>
        <w:tc>
          <w:tcPr>
            <w:tcW w:w="1838" w:type="dxa"/>
            <w:vMerge w:val="restart"/>
          </w:tcPr>
          <w:p w:rsidR="00B41810" w:rsidRPr="00111CFC" w:rsidRDefault="00B41810" w:rsidP="00B41810">
            <w:pPr>
              <w:jc w:val="center"/>
              <w:rPr>
                <w:rFonts w:ascii="Times New Roman" w:hAnsi="Times New Roman" w:cs="Times New Roman"/>
                <w:b/>
                <w:sz w:val="24"/>
                <w:szCs w:val="24"/>
              </w:rPr>
            </w:pPr>
            <w:r w:rsidRPr="00111CFC">
              <w:rPr>
                <w:rFonts w:ascii="Times New Roman" w:hAnsi="Times New Roman" w:cs="Times New Roman"/>
                <w:b/>
                <w:sz w:val="24"/>
                <w:szCs w:val="24"/>
              </w:rPr>
              <w:t xml:space="preserve">Risk </w:t>
            </w:r>
            <w:r>
              <w:rPr>
                <w:rFonts w:ascii="Times New Roman" w:hAnsi="Times New Roman" w:cs="Times New Roman"/>
                <w:b/>
                <w:sz w:val="24"/>
                <w:szCs w:val="24"/>
              </w:rPr>
              <w:t>Değeri</w:t>
            </w:r>
          </w:p>
        </w:tc>
        <w:tc>
          <w:tcPr>
            <w:tcW w:w="3260" w:type="dxa"/>
            <w:gridSpan w:val="2"/>
          </w:tcPr>
          <w:p w:rsidR="00B41810" w:rsidRPr="00111CFC" w:rsidRDefault="00B41810" w:rsidP="00B41810">
            <w:pPr>
              <w:jc w:val="center"/>
              <w:rPr>
                <w:rFonts w:ascii="Times New Roman" w:hAnsi="Times New Roman" w:cs="Times New Roman"/>
                <w:b/>
                <w:sz w:val="24"/>
                <w:szCs w:val="24"/>
              </w:rPr>
            </w:pPr>
            <w:r>
              <w:rPr>
                <w:rFonts w:ascii="Times New Roman" w:hAnsi="Times New Roman" w:cs="Times New Roman"/>
                <w:b/>
                <w:sz w:val="24"/>
                <w:szCs w:val="24"/>
              </w:rPr>
              <w:t>Volatilite</w:t>
            </w:r>
            <w:r w:rsidRPr="00111CFC">
              <w:rPr>
                <w:rFonts w:ascii="Times New Roman" w:hAnsi="Times New Roman" w:cs="Times New Roman"/>
                <w:b/>
                <w:sz w:val="24"/>
                <w:szCs w:val="24"/>
              </w:rPr>
              <w:t xml:space="preserve"> Aralığı</w:t>
            </w:r>
          </w:p>
        </w:tc>
      </w:tr>
      <w:tr w:rsidR="00B41810" w:rsidTr="00B41810">
        <w:trPr>
          <w:trHeight w:val="268"/>
        </w:trPr>
        <w:tc>
          <w:tcPr>
            <w:tcW w:w="1838" w:type="dxa"/>
            <w:vMerge/>
          </w:tcPr>
          <w:p w:rsidR="00B41810" w:rsidRPr="00111CFC" w:rsidRDefault="00B41810" w:rsidP="00B41810">
            <w:pPr>
              <w:jc w:val="center"/>
              <w:rPr>
                <w:rFonts w:ascii="Times New Roman" w:hAnsi="Times New Roman" w:cs="Times New Roman"/>
                <w:b/>
                <w:sz w:val="24"/>
                <w:szCs w:val="24"/>
              </w:rPr>
            </w:pPr>
          </w:p>
        </w:tc>
        <w:tc>
          <w:tcPr>
            <w:tcW w:w="1559" w:type="dxa"/>
          </w:tcPr>
          <w:p w:rsidR="00B41810" w:rsidRPr="00111CFC" w:rsidRDefault="00B41810" w:rsidP="00B41810">
            <w:pPr>
              <w:jc w:val="center"/>
              <w:rPr>
                <w:rFonts w:ascii="Times New Roman" w:hAnsi="Times New Roman" w:cs="Times New Roman"/>
                <w:b/>
                <w:sz w:val="24"/>
                <w:szCs w:val="24"/>
              </w:rPr>
            </w:pPr>
            <w:r w:rsidRPr="00111CFC">
              <w:rPr>
                <w:rFonts w:ascii="Times New Roman" w:hAnsi="Times New Roman" w:cs="Times New Roman"/>
                <w:b/>
                <w:sz w:val="24"/>
                <w:szCs w:val="24"/>
              </w:rPr>
              <w:t>Dahil</w:t>
            </w:r>
          </w:p>
        </w:tc>
        <w:tc>
          <w:tcPr>
            <w:tcW w:w="1701" w:type="dxa"/>
          </w:tcPr>
          <w:p w:rsidR="00B41810" w:rsidRPr="00111CFC" w:rsidRDefault="00B41810" w:rsidP="00B41810">
            <w:pPr>
              <w:jc w:val="center"/>
              <w:rPr>
                <w:rFonts w:ascii="Times New Roman" w:hAnsi="Times New Roman" w:cs="Times New Roman"/>
                <w:b/>
                <w:sz w:val="24"/>
                <w:szCs w:val="24"/>
              </w:rPr>
            </w:pPr>
            <w:r w:rsidRPr="00111CFC">
              <w:rPr>
                <w:rFonts w:ascii="Times New Roman" w:hAnsi="Times New Roman" w:cs="Times New Roman"/>
                <w:b/>
                <w:sz w:val="24"/>
                <w:szCs w:val="24"/>
              </w:rPr>
              <w:t>Hariç</w:t>
            </w:r>
          </w:p>
        </w:tc>
      </w:tr>
      <w:tr w:rsidR="00B41810" w:rsidTr="00B41810">
        <w:trPr>
          <w:trHeight w:val="268"/>
        </w:trPr>
        <w:tc>
          <w:tcPr>
            <w:tcW w:w="1838" w:type="dxa"/>
          </w:tcPr>
          <w:p w:rsidR="00B41810" w:rsidRPr="00111CFC" w:rsidRDefault="00B41810" w:rsidP="00B41810">
            <w:pPr>
              <w:jc w:val="center"/>
              <w:rPr>
                <w:rFonts w:ascii="Times New Roman" w:hAnsi="Times New Roman" w:cs="Times New Roman"/>
                <w:b/>
                <w:sz w:val="24"/>
                <w:szCs w:val="24"/>
              </w:rPr>
            </w:pPr>
            <w:r w:rsidRPr="00111CFC">
              <w:rPr>
                <w:rFonts w:ascii="Times New Roman" w:hAnsi="Times New Roman" w:cs="Times New Roman"/>
                <w:b/>
                <w:sz w:val="24"/>
                <w:szCs w:val="24"/>
              </w:rPr>
              <w:t>1</w:t>
            </w:r>
          </w:p>
        </w:tc>
        <w:tc>
          <w:tcPr>
            <w:tcW w:w="1559" w:type="dxa"/>
          </w:tcPr>
          <w:p w:rsidR="00B41810" w:rsidRDefault="00B41810" w:rsidP="00B41810">
            <w:pPr>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Pr>
          <w:p w:rsidR="00B41810" w:rsidRDefault="00B41810" w:rsidP="00B41810">
            <w:pPr>
              <w:jc w:val="center"/>
              <w:rPr>
                <w:rFonts w:ascii="Times New Roman" w:hAnsi="Times New Roman" w:cs="Times New Roman"/>
                <w:sz w:val="24"/>
                <w:szCs w:val="24"/>
              </w:rPr>
            </w:pPr>
            <w:r>
              <w:rPr>
                <w:rFonts w:ascii="Times New Roman" w:hAnsi="Times New Roman" w:cs="Times New Roman"/>
                <w:sz w:val="24"/>
                <w:szCs w:val="24"/>
              </w:rPr>
              <w:t>0,5</w:t>
            </w:r>
          </w:p>
        </w:tc>
      </w:tr>
      <w:tr w:rsidR="00B41810" w:rsidTr="00B41810">
        <w:trPr>
          <w:trHeight w:val="258"/>
        </w:trPr>
        <w:tc>
          <w:tcPr>
            <w:tcW w:w="1838" w:type="dxa"/>
          </w:tcPr>
          <w:p w:rsidR="00B41810" w:rsidRPr="00111CFC" w:rsidRDefault="00B41810" w:rsidP="00B41810">
            <w:pPr>
              <w:jc w:val="center"/>
              <w:rPr>
                <w:rFonts w:ascii="Times New Roman" w:hAnsi="Times New Roman" w:cs="Times New Roman"/>
                <w:b/>
                <w:sz w:val="24"/>
                <w:szCs w:val="24"/>
              </w:rPr>
            </w:pPr>
            <w:r w:rsidRPr="00111CFC">
              <w:rPr>
                <w:rFonts w:ascii="Times New Roman" w:hAnsi="Times New Roman" w:cs="Times New Roman"/>
                <w:b/>
                <w:sz w:val="24"/>
                <w:szCs w:val="24"/>
              </w:rPr>
              <w:t>2</w:t>
            </w:r>
          </w:p>
        </w:tc>
        <w:tc>
          <w:tcPr>
            <w:tcW w:w="1559" w:type="dxa"/>
          </w:tcPr>
          <w:p w:rsidR="00B41810" w:rsidRDefault="00B41810" w:rsidP="00B41810">
            <w:pPr>
              <w:jc w:val="center"/>
              <w:rPr>
                <w:rFonts w:ascii="Times New Roman" w:hAnsi="Times New Roman" w:cs="Times New Roman"/>
                <w:sz w:val="24"/>
                <w:szCs w:val="24"/>
              </w:rPr>
            </w:pPr>
            <w:r>
              <w:rPr>
                <w:rFonts w:ascii="Times New Roman" w:hAnsi="Times New Roman" w:cs="Times New Roman"/>
                <w:sz w:val="24"/>
                <w:szCs w:val="24"/>
              </w:rPr>
              <w:t>0,5</w:t>
            </w:r>
          </w:p>
        </w:tc>
        <w:tc>
          <w:tcPr>
            <w:tcW w:w="1701" w:type="dxa"/>
          </w:tcPr>
          <w:p w:rsidR="00B41810" w:rsidRDefault="00B41810" w:rsidP="00B41810">
            <w:pPr>
              <w:jc w:val="center"/>
              <w:rPr>
                <w:rFonts w:ascii="Times New Roman" w:hAnsi="Times New Roman" w:cs="Times New Roman"/>
                <w:sz w:val="24"/>
                <w:szCs w:val="24"/>
              </w:rPr>
            </w:pPr>
            <w:r>
              <w:rPr>
                <w:rFonts w:ascii="Times New Roman" w:hAnsi="Times New Roman" w:cs="Times New Roman"/>
                <w:sz w:val="24"/>
                <w:szCs w:val="24"/>
              </w:rPr>
              <w:t>2</w:t>
            </w:r>
          </w:p>
        </w:tc>
      </w:tr>
      <w:tr w:rsidR="00B41810" w:rsidTr="00B41810">
        <w:trPr>
          <w:trHeight w:val="268"/>
        </w:trPr>
        <w:tc>
          <w:tcPr>
            <w:tcW w:w="1838" w:type="dxa"/>
          </w:tcPr>
          <w:p w:rsidR="00B41810" w:rsidRPr="00111CFC" w:rsidRDefault="00B41810" w:rsidP="00B41810">
            <w:pPr>
              <w:jc w:val="center"/>
              <w:rPr>
                <w:rFonts w:ascii="Times New Roman" w:hAnsi="Times New Roman" w:cs="Times New Roman"/>
                <w:b/>
                <w:sz w:val="24"/>
                <w:szCs w:val="24"/>
              </w:rPr>
            </w:pPr>
            <w:r w:rsidRPr="00111CFC">
              <w:rPr>
                <w:rFonts w:ascii="Times New Roman" w:hAnsi="Times New Roman" w:cs="Times New Roman"/>
                <w:b/>
                <w:sz w:val="24"/>
                <w:szCs w:val="24"/>
              </w:rPr>
              <w:t>3</w:t>
            </w:r>
          </w:p>
        </w:tc>
        <w:tc>
          <w:tcPr>
            <w:tcW w:w="1559" w:type="dxa"/>
          </w:tcPr>
          <w:p w:rsidR="00B41810" w:rsidRDefault="00B41810" w:rsidP="00B41810">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B41810" w:rsidRDefault="00B41810" w:rsidP="00B41810">
            <w:pPr>
              <w:jc w:val="center"/>
              <w:rPr>
                <w:rFonts w:ascii="Times New Roman" w:hAnsi="Times New Roman" w:cs="Times New Roman"/>
                <w:sz w:val="24"/>
                <w:szCs w:val="24"/>
              </w:rPr>
            </w:pPr>
            <w:r>
              <w:rPr>
                <w:rFonts w:ascii="Times New Roman" w:hAnsi="Times New Roman" w:cs="Times New Roman"/>
                <w:sz w:val="24"/>
                <w:szCs w:val="24"/>
              </w:rPr>
              <w:t>5</w:t>
            </w:r>
          </w:p>
        </w:tc>
      </w:tr>
      <w:tr w:rsidR="00B41810" w:rsidTr="00B41810">
        <w:trPr>
          <w:trHeight w:val="268"/>
        </w:trPr>
        <w:tc>
          <w:tcPr>
            <w:tcW w:w="1838" w:type="dxa"/>
          </w:tcPr>
          <w:p w:rsidR="00B41810" w:rsidRPr="00111CFC" w:rsidRDefault="00B41810" w:rsidP="00B41810">
            <w:pPr>
              <w:jc w:val="center"/>
              <w:rPr>
                <w:rFonts w:ascii="Times New Roman" w:hAnsi="Times New Roman" w:cs="Times New Roman"/>
                <w:b/>
                <w:sz w:val="24"/>
                <w:szCs w:val="24"/>
              </w:rPr>
            </w:pPr>
            <w:r w:rsidRPr="00111CFC">
              <w:rPr>
                <w:rFonts w:ascii="Times New Roman" w:hAnsi="Times New Roman" w:cs="Times New Roman"/>
                <w:b/>
                <w:sz w:val="24"/>
                <w:szCs w:val="24"/>
              </w:rPr>
              <w:t>4</w:t>
            </w:r>
          </w:p>
        </w:tc>
        <w:tc>
          <w:tcPr>
            <w:tcW w:w="1559" w:type="dxa"/>
          </w:tcPr>
          <w:p w:rsidR="00B41810" w:rsidRDefault="00B41810" w:rsidP="00B41810">
            <w:pPr>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Pr>
          <w:p w:rsidR="00B41810" w:rsidRDefault="00B41810" w:rsidP="00B41810">
            <w:pPr>
              <w:jc w:val="center"/>
              <w:rPr>
                <w:rFonts w:ascii="Times New Roman" w:hAnsi="Times New Roman" w:cs="Times New Roman"/>
                <w:sz w:val="24"/>
                <w:szCs w:val="24"/>
              </w:rPr>
            </w:pPr>
            <w:r>
              <w:rPr>
                <w:rFonts w:ascii="Times New Roman" w:hAnsi="Times New Roman" w:cs="Times New Roman"/>
                <w:sz w:val="24"/>
                <w:szCs w:val="24"/>
              </w:rPr>
              <w:t>10</w:t>
            </w:r>
          </w:p>
        </w:tc>
      </w:tr>
      <w:tr w:rsidR="00B41810" w:rsidTr="00B41810">
        <w:trPr>
          <w:trHeight w:val="258"/>
        </w:trPr>
        <w:tc>
          <w:tcPr>
            <w:tcW w:w="1838" w:type="dxa"/>
          </w:tcPr>
          <w:p w:rsidR="00B41810" w:rsidRPr="00111CFC" w:rsidRDefault="00B41810" w:rsidP="00B41810">
            <w:pPr>
              <w:jc w:val="center"/>
              <w:rPr>
                <w:rFonts w:ascii="Times New Roman" w:hAnsi="Times New Roman" w:cs="Times New Roman"/>
                <w:b/>
                <w:sz w:val="24"/>
                <w:szCs w:val="24"/>
              </w:rPr>
            </w:pPr>
            <w:r w:rsidRPr="00111CFC">
              <w:rPr>
                <w:rFonts w:ascii="Times New Roman" w:hAnsi="Times New Roman" w:cs="Times New Roman"/>
                <w:b/>
                <w:sz w:val="24"/>
                <w:szCs w:val="24"/>
              </w:rPr>
              <w:t>5</w:t>
            </w:r>
          </w:p>
        </w:tc>
        <w:tc>
          <w:tcPr>
            <w:tcW w:w="1559" w:type="dxa"/>
          </w:tcPr>
          <w:p w:rsidR="00B41810" w:rsidRDefault="00B41810" w:rsidP="00B41810">
            <w:pPr>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Pr>
          <w:p w:rsidR="00B41810" w:rsidRDefault="00B41810" w:rsidP="00B41810">
            <w:pPr>
              <w:jc w:val="center"/>
              <w:rPr>
                <w:rFonts w:ascii="Times New Roman" w:hAnsi="Times New Roman" w:cs="Times New Roman"/>
                <w:sz w:val="24"/>
                <w:szCs w:val="24"/>
              </w:rPr>
            </w:pPr>
            <w:r>
              <w:rPr>
                <w:rFonts w:ascii="Times New Roman" w:hAnsi="Times New Roman" w:cs="Times New Roman"/>
                <w:sz w:val="24"/>
                <w:szCs w:val="24"/>
              </w:rPr>
              <w:t>15</w:t>
            </w:r>
          </w:p>
        </w:tc>
      </w:tr>
      <w:tr w:rsidR="00B41810" w:rsidTr="00B41810">
        <w:trPr>
          <w:trHeight w:val="268"/>
        </w:trPr>
        <w:tc>
          <w:tcPr>
            <w:tcW w:w="1838" w:type="dxa"/>
          </w:tcPr>
          <w:p w:rsidR="00B41810" w:rsidRPr="00111CFC" w:rsidRDefault="00B41810" w:rsidP="00B41810">
            <w:pPr>
              <w:jc w:val="center"/>
              <w:rPr>
                <w:rFonts w:ascii="Times New Roman" w:hAnsi="Times New Roman" w:cs="Times New Roman"/>
                <w:b/>
                <w:sz w:val="24"/>
                <w:szCs w:val="24"/>
              </w:rPr>
            </w:pPr>
            <w:r w:rsidRPr="00111CFC">
              <w:rPr>
                <w:rFonts w:ascii="Times New Roman" w:hAnsi="Times New Roman" w:cs="Times New Roman"/>
                <w:b/>
                <w:sz w:val="24"/>
                <w:szCs w:val="24"/>
              </w:rPr>
              <w:t>6</w:t>
            </w:r>
          </w:p>
        </w:tc>
        <w:tc>
          <w:tcPr>
            <w:tcW w:w="1559" w:type="dxa"/>
          </w:tcPr>
          <w:p w:rsidR="00B41810" w:rsidRDefault="00B41810" w:rsidP="00B41810">
            <w:pPr>
              <w:jc w:val="center"/>
              <w:rPr>
                <w:rFonts w:ascii="Times New Roman" w:hAnsi="Times New Roman" w:cs="Times New Roman"/>
                <w:sz w:val="24"/>
                <w:szCs w:val="24"/>
              </w:rPr>
            </w:pPr>
            <w:r>
              <w:rPr>
                <w:rFonts w:ascii="Times New Roman" w:hAnsi="Times New Roman" w:cs="Times New Roman"/>
                <w:sz w:val="24"/>
                <w:szCs w:val="24"/>
              </w:rPr>
              <w:t>15</w:t>
            </w:r>
          </w:p>
        </w:tc>
        <w:tc>
          <w:tcPr>
            <w:tcW w:w="1701" w:type="dxa"/>
          </w:tcPr>
          <w:p w:rsidR="00B41810" w:rsidRDefault="00B41810" w:rsidP="00B41810">
            <w:pPr>
              <w:jc w:val="center"/>
              <w:rPr>
                <w:rFonts w:ascii="Times New Roman" w:hAnsi="Times New Roman" w:cs="Times New Roman"/>
                <w:sz w:val="24"/>
                <w:szCs w:val="24"/>
              </w:rPr>
            </w:pPr>
            <w:r>
              <w:rPr>
                <w:rFonts w:ascii="Times New Roman" w:hAnsi="Times New Roman" w:cs="Times New Roman"/>
                <w:sz w:val="24"/>
                <w:szCs w:val="24"/>
              </w:rPr>
              <w:t>25</w:t>
            </w:r>
          </w:p>
        </w:tc>
      </w:tr>
      <w:tr w:rsidR="00B41810" w:rsidTr="00B41810">
        <w:trPr>
          <w:trHeight w:val="258"/>
        </w:trPr>
        <w:tc>
          <w:tcPr>
            <w:tcW w:w="1838" w:type="dxa"/>
          </w:tcPr>
          <w:p w:rsidR="00B41810" w:rsidRPr="00111CFC" w:rsidRDefault="00B41810" w:rsidP="00B41810">
            <w:pPr>
              <w:jc w:val="center"/>
              <w:rPr>
                <w:rFonts w:ascii="Times New Roman" w:hAnsi="Times New Roman" w:cs="Times New Roman"/>
                <w:b/>
                <w:sz w:val="24"/>
                <w:szCs w:val="24"/>
              </w:rPr>
            </w:pPr>
            <w:r w:rsidRPr="00111CFC">
              <w:rPr>
                <w:rFonts w:ascii="Times New Roman" w:hAnsi="Times New Roman" w:cs="Times New Roman"/>
                <w:b/>
                <w:sz w:val="24"/>
                <w:szCs w:val="24"/>
              </w:rPr>
              <w:t>7</w:t>
            </w:r>
          </w:p>
        </w:tc>
        <w:tc>
          <w:tcPr>
            <w:tcW w:w="1559" w:type="dxa"/>
          </w:tcPr>
          <w:p w:rsidR="00B41810" w:rsidRDefault="00B41810" w:rsidP="00B41810">
            <w:pPr>
              <w:jc w:val="center"/>
              <w:rPr>
                <w:rFonts w:ascii="Times New Roman" w:hAnsi="Times New Roman" w:cs="Times New Roman"/>
                <w:sz w:val="24"/>
                <w:szCs w:val="24"/>
              </w:rPr>
            </w:pPr>
            <w:r>
              <w:rPr>
                <w:rFonts w:ascii="Times New Roman" w:hAnsi="Times New Roman" w:cs="Times New Roman"/>
                <w:sz w:val="24"/>
                <w:szCs w:val="24"/>
              </w:rPr>
              <w:t>25</w:t>
            </w:r>
          </w:p>
        </w:tc>
        <w:tc>
          <w:tcPr>
            <w:tcW w:w="1701" w:type="dxa"/>
          </w:tcPr>
          <w:p w:rsidR="00B41810" w:rsidRDefault="00B41810" w:rsidP="00B41810">
            <w:pPr>
              <w:jc w:val="center"/>
              <w:rPr>
                <w:rFonts w:ascii="Times New Roman" w:hAnsi="Times New Roman" w:cs="Times New Roman"/>
                <w:sz w:val="24"/>
                <w:szCs w:val="24"/>
              </w:rPr>
            </w:pPr>
          </w:p>
        </w:tc>
      </w:tr>
    </w:tbl>
    <w:p w:rsidR="00B41810" w:rsidRDefault="00B41810" w:rsidP="00B41810">
      <w:pPr>
        <w:spacing w:after="0"/>
        <w:ind w:firstLine="708"/>
        <w:jc w:val="both"/>
        <w:rPr>
          <w:rFonts w:ascii="Times New Roman" w:eastAsiaTheme="minorEastAsia" w:hAnsi="Times New Roman" w:cs="Times New Roman"/>
          <w:color w:val="000000"/>
          <w:sz w:val="24"/>
          <w:szCs w:val="24"/>
        </w:rPr>
      </w:pPr>
    </w:p>
    <w:p w:rsidR="00B41810" w:rsidRPr="00B41810" w:rsidRDefault="000C6C1D" w:rsidP="00B41810">
      <w:pPr>
        <w:pStyle w:val="Heading4"/>
        <w:rPr>
          <w:rFonts w:eastAsiaTheme="minorEastAsia"/>
          <w:i w:val="0"/>
        </w:rPr>
      </w:pPr>
      <w:r>
        <w:rPr>
          <w:rFonts w:eastAsiaTheme="minorEastAsia"/>
          <w:i w:val="0"/>
        </w:rPr>
        <w:t>9</w:t>
      </w:r>
      <w:r w:rsidR="009F3445">
        <w:rPr>
          <w:rFonts w:eastAsiaTheme="minorEastAsia"/>
          <w:i w:val="0"/>
        </w:rPr>
        <w:t>.3</w:t>
      </w:r>
      <w:r w:rsidR="00111170">
        <w:rPr>
          <w:rFonts w:eastAsiaTheme="minorEastAsia"/>
          <w:i w:val="0"/>
        </w:rPr>
        <w:t>.2.2. Risk ve Getiri P</w:t>
      </w:r>
      <w:r w:rsidR="00B41810" w:rsidRPr="00B41810">
        <w:rPr>
          <w:rFonts w:eastAsiaTheme="minorEastAsia"/>
          <w:i w:val="0"/>
        </w:rPr>
        <w:t>rofili</w:t>
      </w:r>
      <w:r w:rsidR="00111170">
        <w:rPr>
          <w:rFonts w:eastAsiaTheme="minorEastAsia"/>
          <w:i w:val="0"/>
        </w:rPr>
        <w:t>nin Değişmesi</w:t>
      </w:r>
    </w:p>
    <w:p w:rsidR="00B41810" w:rsidRDefault="00B41810" w:rsidP="00B41810">
      <w:pPr>
        <w:spacing w:after="0"/>
        <w:ind w:firstLine="708"/>
        <w:jc w:val="both"/>
        <w:rPr>
          <w:rFonts w:ascii="Times New Roman" w:eastAsiaTheme="minorEastAsia" w:hAnsi="Times New Roman" w:cs="Times New Roman"/>
          <w:b/>
          <w:i/>
          <w:color w:val="000000"/>
          <w:sz w:val="24"/>
          <w:szCs w:val="24"/>
          <w:u w:val="single"/>
        </w:rPr>
      </w:pPr>
    </w:p>
    <w:p w:rsidR="00B41810" w:rsidRDefault="00B41810" w:rsidP="0006161B">
      <w:pPr>
        <w:pStyle w:val="ListParagraph"/>
        <w:numPr>
          <w:ilvl w:val="0"/>
          <w:numId w:val="18"/>
        </w:numPr>
        <w:spacing w:after="0"/>
        <w:jc w:val="both"/>
        <w:rPr>
          <w:rFonts w:ascii="Times New Roman" w:eastAsiaTheme="minorEastAsia" w:hAnsi="Times New Roman" w:cs="Times New Roman"/>
          <w:color w:val="000000"/>
          <w:sz w:val="24"/>
          <w:szCs w:val="24"/>
        </w:rPr>
      </w:pPr>
      <w:r w:rsidRPr="006F6541">
        <w:rPr>
          <w:rFonts w:ascii="Times New Roman" w:eastAsiaTheme="minorEastAsia" w:hAnsi="Times New Roman" w:cs="Times New Roman"/>
          <w:color w:val="000000"/>
          <w:sz w:val="24"/>
          <w:szCs w:val="24"/>
        </w:rPr>
        <w:t xml:space="preserve">Fon tarafından, son </w:t>
      </w:r>
      <w:r>
        <w:rPr>
          <w:rFonts w:ascii="Times New Roman" w:eastAsiaTheme="minorEastAsia" w:hAnsi="Times New Roman" w:cs="Times New Roman"/>
          <w:color w:val="000000"/>
          <w:sz w:val="24"/>
          <w:szCs w:val="24"/>
        </w:rPr>
        <w:t>dört</w:t>
      </w:r>
      <w:r w:rsidRPr="006F6541">
        <w:rPr>
          <w:rFonts w:ascii="Times New Roman" w:eastAsiaTheme="minorEastAsia" w:hAnsi="Times New Roman" w:cs="Times New Roman"/>
          <w:color w:val="000000"/>
          <w:sz w:val="24"/>
          <w:szCs w:val="24"/>
        </w:rPr>
        <w:t xml:space="preserve"> ay </w:t>
      </w:r>
      <w:r w:rsidRPr="00E80E37">
        <w:rPr>
          <w:rFonts w:ascii="Times New Roman" w:eastAsiaTheme="minorEastAsia" w:hAnsi="Times New Roman" w:cs="Times New Roman"/>
          <w:color w:val="000000"/>
          <w:sz w:val="24"/>
          <w:szCs w:val="24"/>
        </w:rPr>
        <w:t>içerisinde haftalık bazda</w:t>
      </w:r>
      <w:r w:rsidRPr="00E80E37">
        <w:rPr>
          <w:rStyle w:val="FootnoteReference"/>
          <w:rFonts w:ascii="Times New Roman" w:eastAsiaTheme="minorEastAsia" w:hAnsi="Times New Roman" w:cs="Times New Roman"/>
          <w:color w:val="000000"/>
          <w:sz w:val="24"/>
          <w:szCs w:val="24"/>
        </w:rPr>
        <w:footnoteReference w:id="24"/>
      </w:r>
      <w:r w:rsidRPr="006F6541">
        <w:rPr>
          <w:rFonts w:ascii="Times New Roman" w:eastAsiaTheme="minorEastAsia" w:hAnsi="Times New Roman" w:cs="Times New Roman"/>
          <w:color w:val="000000"/>
          <w:sz w:val="24"/>
          <w:szCs w:val="24"/>
        </w:rPr>
        <w:t xml:space="preserve"> yapılan her bir hesaplama sonucu ulaşılan </w:t>
      </w:r>
      <w:r>
        <w:rPr>
          <w:rFonts w:ascii="Times New Roman" w:hAnsi="Times New Roman" w:cs="Times New Roman"/>
          <w:color w:val="000000"/>
          <w:sz w:val="24"/>
          <w:szCs w:val="24"/>
        </w:rPr>
        <w:t>RD</w:t>
      </w:r>
      <w:r>
        <w:rPr>
          <w:rFonts w:ascii="Times New Roman" w:eastAsiaTheme="minorEastAsia" w:hAnsi="Times New Roman" w:cs="Times New Roman"/>
          <w:color w:val="000000"/>
          <w:sz w:val="24"/>
          <w:szCs w:val="24"/>
        </w:rPr>
        <w:t>’</w:t>
      </w:r>
      <w:r w:rsidRPr="006F6541">
        <w:rPr>
          <w:rFonts w:ascii="Times New Roman" w:eastAsiaTheme="minorEastAsia" w:hAnsi="Times New Roman" w:cs="Times New Roman"/>
          <w:color w:val="000000"/>
          <w:sz w:val="24"/>
          <w:szCs w:val="24"/>
        </w:rPr>
        <w:t xml:space="preserve">nin, fonun mevcut </w:t>
      </w:r>
      <w:r>
        <w:rPr>
          <w:rFonts w:ascii="Times New Roman" w:hAnsi="Times New Roman" w:cs="Times New Roman"/>
          <w:color w:val="000000"/>
          <w:sz w:val="24"/>
          <w:szCs w:val="24"/>
        </w:rPr>
        <w:t>RD</w:t>
      </w:r>
      <w:r>
        <w:rPr>
          <w:rFonts w:ascii="Times New Roman" w:eastAsiaTheme="minorEastAsia" w:hAnsi="Times New Roman" w:cs="Times New Roman"/>
          <w:color w:val="000000"/>
          <w:sz w:val="24"/>
          <w:szCs w:val="24"/>
        </w:rPr>
        <w:t>’s</w:t>
      </w:r>
      <w:r w:rsidRPr="006F6541">
        <w:rPr>
          <w:rFonts w:ascii="Times New Roman" w:eastAsiaTheme="minorEastAsia" w:hAnsi="Times New Roman" w:cs="Times New Roman"/>
          <w:color w:val="000000"/>
          <w:sz w:val="24"/>
          <w:szCs w:val="24"/>
        </w:rPr>
        <w:t>inden farklılık arz etmesi halinde bu değerin güncellenmesi gerekir.</w:t>
      </w:r>
    </w:p>
    <w:p w:rsidR="00B41810" w:rsidRDefault="00B41810" w:rsidP="0006161B">
      <w:pPr>
        <w:pStyle w:val="ListParagraph"/>
        <w:numPr>
          <w:ilvl w:val="0"/>
          <w:numId w:val="18"/>
        </w:numPr>
        <w:spacing w:after="0"/>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S</w:t>
      </w:r>
      <w:r w:rsidRPr="006F6541">
        <w:rPr>
          <w:rFonts w:ascii="Times New Roman" w:eastAsiaTheme="minorEastAsia" w:hAnsi="Times New Roman" w:cs="Times New Roman"/>
          <w:color w:val="000000"/>
          <w:sz w:val="24"/>
          <w:szCs w:val="24"/>
        </w:rPr>
        <w:t xml:space="preserve">on dört ay içerisinde yapılan hesaplamalar sonucu, fonun </w:t>
      </w:r>
      <w:r>
        <w:rPr>
          <w:rFonts w:ascii="Times New Roman" w:hAnsi="Times New Roman" w:cs="Times New Roman"/>
          <w:color w:val="000000"/>
          <w:sz w:val="24"/>
          <w:szCs w:val="24"/>
        </w:rPr>
        <w:t>RD</w:t>
      </w:r>
      <w:r>
        <w:rPr>
          <w:rFonts w:ascii="Times New Roman" w:eastAsiaTheme="minorEastAsia" w:hAnsi="Times New Roman" w:cs="Times New Roman"/>
          <w:color w:val="000000"/>
          <w:sz w:val="24"/>
          <w:szCs w:val="24"/>
        </w:rPr>
        <w:t>’s</w:t>
      </w:r>
      <w:r w:rsidRPr="006F6541">
        <w:rPr>
          <w:rFonts w:ascii="Times New Roman" w:eastAsiaTheme="minorEastAsia" w:hAnsi="Times New Roman" w:cs="Times New Roman"/>
          <w:color w:val="000000"/>
          <w:sz w:val="24"/>
          <w:szCs w:val="24"/>
        </w:rPr>
        <w:t xml:space="preserve">inin birden fazla kategoride yer alması halinde, fonun </w:t>
      </w:r>
      <w:r>
        <w:rPr>
          <w:rFonts w:ascii="Times New Roman" w:hAnsi="Times New Roman" w:cs="Times New Roman"/>
          <w:color w:val="000000"/>
          <w:sz w:val="24"/>
          <w:szCs w:val="24"/>
        </w:rPr>
        <w:t>RD</w:t>
      </w:r>
      <w:r>
        <w:rPr>
          <w:rFonts w:ascii="Times New Roman" w:eastAsiaTheme="minorEastAsia" w:hAnsi="Times New Roman" w:cs="Times New Roman"/>
          <w:color w:val="000000"/>
          <w:sz w:val="24"/>
          <w:szCs w:val="24"/>
        </w:rPr>
        <w:t>’s</w:t>
      </w:r>
      <w:r w:rsidRPr="006F6541">
        <w:rPr>
          <w:rFonts w:ascii="Times New Roman" w:eastAsiaTheme="minorEastAsia" w:hAnsi="Times New Roman" w:cs="Times New Roman"/>
          <w:color w:val="000000"/>
          <w:sz w:val="24"/>
          <w:szCs w:val="24"/>
        </w:rPr>
        <w:t xml:space="preserve">i, daha sıklıkla yer aldığı kategoriye tekabül eden değerdir. </w:t>
      </w:r>
    </w:p>
    <w:p w:rsidR="00B41810" w:rsidRPr="00746A81" w:rsidRDefault="00B41810" w:rsidP="0006161B">
      <w:pPr>
        <w:pStyle w:val="ListParagraph"/>
        <w:numPr>
          <w:ilvl w:val="0"/>
          <w:numId w:val="18"/>
        </w:numPr>
        <w:spacing w:after="0"/>
        <w:jc w:val="both"/>
        <w:rPr>
          <w:rFonts w:ascii="Times New Roman" w:eastAsiaTheme="minorEastAsia" w:hAnsi="Times New Roman" w:cs="Times New Roman"/>
          <w:color w:val="000000"/>
          <w:sz w:val="24"/>
          <w:szCs w:val="24"/>
        </w:rPr>
      </w:pPr>
      <w:r>
        <w:rPr>
          <w:rFonts w:ascii="Times New Roman" w:hAnsi="Times New Roman" w:cs="Times New Roman"/>
          <w:color w:val="000000"/>
          <w:sz w:val="24"/>
          <w:szCs w:val="24"/>
        </w:rPr>
        <w:t>RD</w:t>
      </w:r>
      <w:r>
        <w:rPr>
          <w:rFonts w:ascii="Times New Roman" w:eastAsiaTheme="minorEastAsia" w:hAnsi="Times New Roman" w:cs="Times New Roman"/>
          <w:color w:val="000000"/>
          <w:sz w:val="24"/>
          <w:szCs w:val="24"/>
        </w:rPr>
        <w:t xml:space="preserve">’deki değişikliğin, </w:t>
      </w:r>
      <w:r w:rsidRPr="003310E2">
        <w:rPr>
          <w:rFonts w:ascii="Times New Roman" w:eastAsiaTheme="minorEastAsia" w:hAnsi="Times New Roman" w:cs="Times New Roman"/>
          <w:color w:val="000000"/>
          <w:sz w:val="24"/>
          <w:szCs w:val="24"/>
        </w:rPr>
        <w:t>fonun yatırım yaptığı piyasalardaki koşulların değişmesinden kaynaklanması halinde de söz konusu güncellemenin ivedilikle yapılması gerek</w:t>
      </w:r>
      <w:r>
        <w:rPr>
          <w:rFonts w:ascii="Times New Roman" w:eastAsiaTheme="minorEastAsia" w:hAnsi="Times New Roman" w:cs="Times New Roman"/>
          <w:color w:val="000000"/>
          <w:sz w:val="24"/>
          <w:szCs w:val="24"/>
        </w:rPr>
        <w:t>ir</w:t>
      </w:r>
      <w:r w:rsidRPr="003310E2">
        <w:rPr>
          <w:rFonts w:ascii="Times New Roman" w:eastAsiaTheme="minorEastAsia" w:hAnsi="Times New Roman" w:cs="Times New Roman"/>
          <w:color w:val="000000"/>
          <w:sz w:val="24"/>
          <w:szCs w:val="24"/>
        </w:rPr>
        <w:t xml:space="preserve">. </w:t>
      </w:r>
      <w:r w:rsidRPr="00746A81">
        <w:rPr>
          <w:rFonts w:ascii="Times New Roman" w:eastAsiaTheme="minorEastAsia" w:hAnsi="Times New Roman" w:cs="Times New Roman"/>
          <w:color w:val="000000"/>
          <w:sz w:val="24"/>
          <w:szCs w:val="24"/>
        </w:rPr>
        <w:t>Fonun yatırım stratejisin</w:t>
      </w:r>
      <w:r>
        <w:rPr>
          <w:rFonts w:ascii="Times New Roman" w:eastAsiaTheme="minorEastAsia" w:hAnsi="Times New Roman" w:cs="Times New Roman"/>
          <w:color w:val="000000"/>
          <w:sz w:val="24"/>
          <w:szCs w:val="24"/>
        </w:rPr>
        <w:t xml:space="preserve">in değişmesi sonucunda </w:t>
      </w:r>
      <w:r>
        <w:rPr>
          <w:rFonts w:ascii="Times New Roman" w:hAnsi="Times New Roman" w:cs="Times New Roman"/>
          <w:color w:val="000000"/>
          <w:sz w:val="24"/>
          <w:szCs w:val="24"/>
        </w:rPr>
        <w:t>RD</w:t>
      </w:r>
      <w:r>
        <w:rPr>
          <w:rFonts w:ascii="Times New Roman" w:eastAsiaTheme="minorEastAsia" w:hAnsi="Times New Roman" w:cs="Times New Roman"/>
          <w:color w:val="000000"/>
          <w:sz w:val="24"/>
          <w:szCs w:val="24"/>
        </w:rPr>
        <w:t>’</w:t>
      </w:r>
      <w:r w:rsidRPr="00746A81">
        <w:rPr>
          <w:rFonts w:ascii="Times New Roman" w:eastAsiaTheme="minorEastAsia" w:hAnsi="Times New Roman" w:cs="Times New Roman"/>
          <w:color w:val="000000"/>
          <w:sz w:val="24"/>
          <w:szCs w:val="24"/>
        </w:rPr>
        <w:t>n</w:t>
      </w:r>
      <w:r>
        <w:rPr>
          <w:rFonts w:ascii="Times New Roman" w:eastAsiaTheme="minorEastAsia" w:hAnsi="Times New Roman" w:cs="Times New Roman"/>
          <w:color w:val="000000"/>
          <w:sz w:val="24"/>
          <w:szCs w:val="24"/>
        </w:rPr>
        <w:t>in</w:t>
      </w:r>
      <w:r w:rsidRPr="00746A81">
        <w:rPr>
          <w:rFonts w:ascii="Times New Roman" w:eastAsiaTheme="minorEastAsia" w:hAnsi="Times New Roman" w:cs="Times New Roman"/>
          <w:color w:val="000000"/>
          <w:sz w:val="24"/>
          <w:szCs w:val="24"/>
        </w:rPr>
        <w:t xml:space="preserve"> değişmesi halinde, risk değerinin yeniden belirlenmesi gerekmektedir.</w:t>
      </w:r>
    </w:p>
    <w:p w:rsidR="00B41810" w:rsidRDefault="00B41810" w:rsidP="00B41810">
      <w:pPr>
        <w:spacing w:after="0"/>
        <w:ind w:firstLine="708"/>
        <w:jc w:val="both"/>
        <w:rPr>
          <w:rFonts w:ascii="Times New Roman" w:eastAsiaTheme="minorEastAsia" w:hAnsi="Times New Roman" w:cs="Times New Roman"/>
          <w:color w:val="000000"/>
          <w:sz w:val="24"/>
          <w:szCs w:val="24"/>
        </w:rPr>
      </w:pPr>
    </w:p>
    <w:p w:rsidR="00B41810" w:rsidRPr="00B41810" w:rsidRDefault="000C6C1D" w:rsidP="00B41810">
      <w:pPr>
        <w:pStyle w:val="Heading4"/>
        <w:rPr>
          <w:rFonts w:eastAsiaTheme="minorEastAsia"/>
          <w:i w:val="0"/>
        </w:rPr>
      </w:pPr>
      <w:r>
        <w:rPr>
          <w:rFonts w:eastAsiaTheme="minorEastAsia"/>
          <w:i w:val="0"/>
        </w:rPr>
        <w:t>9</w:t>
      </w:r>
      <w:r w:rsidR="009F3445">
        <w:rPr>
          <w:rFonts w:eastAsiaTheme="minorEastAsia"/>
          <w:i w:val="0"/>
        </w:rPr>
        <w:t>.3</w:t>
      </w:r>
      <w:r w:rsidR="00B41810" w:rsidRPr="00B41810">
        <w:rPr>
          <w:rFonts w:eastAsiaTheme="minorEastAsia"/>
          <w:i w:val="0"/>
        </w:rPr>
        <w:t>.2.3. Özellikli Durumlar</w:t>
      </w:r>
    </w:p>
    <w:p w:rsidR="00B41810" w:rsidRDefault="00B41810" w:rsidP="00B41810">
      <w:pPr>
        <w:spacing w:after="0"/>
        <w:ind w:firstLine="708"/>
        <w:jc w:val="both"/>
        <w:rPr>
          <w:rFonts w:ascii="Times New Roman" w:eastAsiaTheme="minorEastAsia" w:hAnsi="Times New Roman" w:cs="Times New Roman"/>
          <w:b/>
          <w:i/>
          <w:color w:val="000000"/>
          <w:sz w:val="24"/>
          <w:szCs w:val="24"/>
          <w:u w:val="single"/>
        </w:rPr>
      </w:pPr>
    </w:p>
    <w:p w:rsidR="00B41810" w:rsidRDefault="000C6C1D" w:rsidP="00281BD1">
      <w:pPr>
        <w:pStyle w:val="Heading5"/>
        <w:spacing w:after="240"/>
        <w:rPr>
          <w:rFonts w:eastAsiaTheme="minorEastAsia"/>
        </w:rPr>
      </w:pPr>
      <w:r>
        <w:rPr>
          <w:rFonts w:eastAsiaTheme="minorEastAsia"/>
        </w:rPr>
        <w:t>9</w:t>
      </w:r>
      <w:r w:rsidR="009F3445">
        <w:rPr>
          <w:rFonts w:eastAsiaTheme="minorEastAsia"/>
        </w:rPr>
        <w:t>.3</w:t>
      </w:r>
      <w:r w:rsidR="00B41810">
        <w:rPr>
          <w:rFonts w:eastAsiaTheme="minorEastAsia"/>
        </w:rPr>
        <w:t xml:space="preserve">.2.3.1. </w:t>
      </w:r>
      <w:r w:rsidR="00111170">
        <w:rPr>
          <w:rFonts w:eastAsiaTheme="minorEastAsia"/>
        </w:rPr>
        <w:t>Hesaplama İçin Yeterli Geçmişe Sahip Olmayan F</w:t>
      </w:r>
      <w:r w:rsidR="00B41810" w:rsidRPr="00832677">
        <w:rPr>
          <w:rFonts w:eastAsiaTheme="minorEastAsia"/>
        </w:rPr>
        <w:t>onlar</w:t>
      </w:r>
    </w:p>
    <w:p w:rsidR="00B41810" w:rsidRDefault="00B41810" w:rsidP="00B41810">
      <w:pPr>
        <w:spacing w:after="0"/>
        <w:ind w:firstLine="708"/>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G</w:t>
      </w:r>
      <w:r w:rsidRPr="00924173">
        <w:rPr>
          <w:rFonts w:ascii="Times New Roman" w:eastAsiaTheme="minorEastAsia" w:hAnsi="Times New Roman" w:cs="Times New Roman"/>
          <w:color w:val="000000"/>
          <w:sz w:val="24"/>
          <w:szCs w:val="24"/>
        </w:rPr>
        <w:t xml:space="preserve">eçmiş 5 yıllık dönemin başından fonun getirisinin hesaplanabildiği tarihe kadar olan dönem için karşılaştırma ölçütünün getirileri hesaplanır. </w:t>
      </w:r>
      <w:r>
        <w:rPr>
          <w:rFonts w:ascii="Times New Roman" w:eastAsiaTheme="minorEastAsia" w:hAnsi="Times New Roman" w:cs="Times New Roman"/>
          <w:color w:val="000000"/>
          <w:sz w:val="24"/>
          <w:szCs w:val="24"/>
        </w:rPr>
        <w:t xml:space="preserve">Bu getiriler ile fonun mevcut hesaplanabilen getirileri </w:t>
      </w:r>
      <w:r w:rsidRPr="00924173">
        <w:rPr>
          <w:rFonts w:ascii="Times New Roman" w:eastAsiaTheme="minorEastAsia" w:hAnsi="Times New Roman" w:cs="Times New Roman"/>
          <w:color w:val="000000"/>
          <w:sz w:val="24"/>
          <w:szCs w:val="24"/>
        </w:rPr>
        <w:t>birleştirilir</w:t>
      </w:r>
      <w:r>
        <w:rPr>
          <w:rFonts w:ascii="Times New Roman" w:eastAsiaTheme="minorEastAsia" w:hAnsi="Times New Roman" w:cs="Times New Roman"/>
          <w:color w:val="000000"/>
          <w:sz w:val="24"/>
          <w:szCs w:val="24"/>
        </w:rPr>
        <w:t xml:space="preserve">, bu şekilde oluşturulan 5 yıllık döneme ilişkin veri seti kullanılarak volatilite hesaplaması yapılır ve </w:t>
      </w:r>
      <w:r>
        <w:rPr>
          <w:rFonts w:ascii="Times New Roman" w:hAnsi="Times New Roman" w:cs="Times New Roman"/>
          <w:color w:val="000000"/>
          <w:sz w:val="24"/>
          <w:szCs w:val="24"/>
        </w:rPr>
        <w:t>RD</w:t>
      </w:r>
      <w:r>
        <w:rPr>
          <w:rFonts w:ascii="Times New Roman" w:eastAsiaTheme="minorEastAsia" w:hAnsi="Times New Roman" w:cs="Times New Roman"/>
          <w:color w:val="000000"/>
          <w:sz w:val="24"/>
          <w:szCs w:val="24"/>
        </w:rPr>
        <w:t xml:space="preserve">belirlenir. </w:t>
      </w:r>
    </w:p>
    <w:p w:rsidR="00B41810" w:rsidRPr="00924173" w:rsidRDefault="00B41810" w:rsidP="00B41810">
      <w:pPr>
        <w:spacing w:after="0"/>
        <w:ind w:firstLine="708"/>
        <w:jc w:val="both"/>
        <w:rPr>
          <w:rFonts w:ascii="Times New Roman" w:eastAsiaTheme="minorEastAsia" w:hAnsi="Times New Roman" w:cs="Times New Roman"/>
          <w:color w:val="000000"/>
          <w:sz w:val="24"/>
          <w:szCs w:val="24"/>
        </w:rPr>
      </w:pPr>
    </w:p>
    <w:p w:rsidR="00B41810" w:rsidRDefault="00B41810" w:rsidP="00B41810">
      <w:pPr>
        <w:spacing w:after="0"/>
        <w:ind w:firstLine="708"/>
        <w:jc w:val="both"/>
        <w:rPr>
          <w:rFonts w:ascii="Times New Roman" w:eastAsiaTheme="minorEastAsia" w:hAnsi="Times New Roman" w:cs="Times New Roman"/>
          <w:color w:val="000000"/>
          <w:sz w:val="24"/>
          <w:szCs w:val="24"/>
        </w:rPr>
      </w:pPr>
      <w:r w:rsidRPr="00E22651">
        <w:rPr>
          <w:rFonts w:ascii="Times New Roman" w:eastAsiaTheme="minorEastAsia" w:hAnsi="Times New Roman" w:cs="Times New Roman"/>
          <w:color w:val="000000"/>
          <w:sz w:val="24"/>
          <w:szCs w:val="24"/>
        </w:rPr>
        <w:t xml:space="preserve">Bu </w:t>
      </w:r>
      <w:r>
        <w:rPr>
          <w:rFonts w:ascii="Times New Roman" w:eastAsiaTheme="minorEastAsia" w:hAnsi="Times New Roman" w:cs="Times New Roman"/>
          <w:color w:val="000000"/>
          <w:sz w:val="24"/>
          <w:szCs w:val="24"/>
        </w:rPr>
        <w:t>yöntem,</w:t>
      </w:r>
      <w:r w:rsidRPr="00E22651">
        <w:rPr>
          <w:rFonts w:ascii="Times New Roman" w:eastAsiaTheme="minorEastAsia" w:hAnsi="Times New Roman" w:cs="Times New Roman"/>
          <w:color w:val="000000"/>
          <w:sz w:val="24"/>
          <w:szCs w:val="24"/>
        </w:rPr>
        <w:t xml:space="preserve"> fonun yatırım stratejisinin </w:t>
      </w:r>
      <w:r>
        <w:rPr>
          <w:rFonts w:ascii="Times New Roman" w:eastAsiaTheme="minorEastAsia" w:hAnsi="Times New Roman" w:cs="Times New Roman"/>
          <w:color w:val="000000"/>
          <w:sz w:val="24"/>
          <w:szCs w:val="24"/>
        </w:rPr>
        <w:t xml:space="preserve">değişmesi sebebi ile </w:t>
      </w:r>
      <w:r w:rsidRPr="00E22651">
        <w:rPr>
          <w:rFonts w:ascii="Times New Roman" w:eastAsiaTheme="minorEastAsia" w:hAnsi="Times New Roman" w:cs="Times New Roman"/>
          <w:color w:val="000000"/>
          <w:sz w:val="24"/>
          <w:szCs w:val="24"/>
        </w:rPr>
        <w:t xml:space="preserve">5 yıllık verinin bulunmaması </w:t>
      </w:r>
      <w:r>
        <w:rPr>
          <w:rFonts w:ascii="Times New Roman" w:eastAsiaTheme="minorEastAsia" w:hAnsi="Times New Roman" w:cs="Times New Roman"/>
          <w:color w:val="000000"/>
          <w:sz w:val="24"/>
          <w:szCs w:val="24"/>
        </w:rPr>
        <w:t>halinde de kullanılır.</w:t>
      </w:r>
    </w:p>
    <w:p w:rsidR="00B41810" w:rsidRDefault="00B41810" w:rsidP="00B41810">
      <w:pPr>
        <w:spacing w:after="0"/>
        <w:ind w:firstLine="708"/>
        <w:jc w:val="both"/>
        <w:rPr>
          <w:rFonts w:ascii="Times New Roman" w:eastAsiaTheme="minorEastAsia" w:hAnsi="Times New Roman" w:cs="Times New Roman"/>
          <w:color w:val="000000"/>
          <w:sz w:val="24"/>
          <w:szCs w:val="24"/>
        </w:rPr>
      </w:pPr>
    </w:p>
    <w:p w:rsidR="00B41810" w:rsidRDefault="00B41810" w:rsidP="00B41810">
      <w:pPr>
        <w:spacing w:after="0"/>
        <w:ind w:firstLine="708"/>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Belirlenen karşılaştırma ölçütünün geçmiş verilerinin de 5 yılı kapsamaması halinde, ilgili karşılaşma ölçütünün volatilitesi dikkate alınarak yapılacak simülasyonlardan elde edilecek getirilerin kullanılması suretiyle </w:t>
      </w:r>
      <w:r>
        <w:rPr>
          <w:rFonts w:ascii="Times New Roman" w:hAnsi="Times New Roman" w:cs="Times New Roman"/>
          <w:color w:val="000000"/>
          <w:sz w:val="24"/>
          <w:szCs w:val="24"/>
        </w:rPr>
        <w:t>RD</w:t>
      </w:r>
      <w:r w:rsidR="00B873F6">
        <w:rPr>
          <w:rFonts w:ascii="Times New Roman" w:hAnsi="Times New Roman" w:cs="Times New Roman"/>
          <w:color w:val="000000"/>
          <w:sz w:val="24"/>
          <w:szCs w:val="24"/>
        </w:rPr>
        <w:t xml:space="preserve"> </w:t>
      </w:r>
      <w:r>
        <w:rPr>
          <w:rFonts w:ascii="Times New Roman" w:eastAsiaTheme="minorEastAsia" w:hAnsi="Times New Roman" w:cs="Times New Roman"/>
          <w:color w:val="000000"/>
          <w:sz w:val="24"/>
          <w:szCs w:val="24"/>
        </w:rPr>
        <w:t>belirlenir.</w:t>
      </w:r>
    </w:p>
    <w:p w:rsidR="00B41810" w:rsidRPr="000A42C6" w:rsidRDefault="00B41810" w:rsidP="00B41810">
      <w:pPr>
        <w:spacing w:after="0"/>
        <w:jc w:val="both"/>
        <w:rPr>
          <w:rFonts w:ascii="Times New Roman" w:eastAsiaTheme="minorEastAsia" w:hAnsi="Times New Roman" w:cs="Times New Roman"/>
          <w:b/>
          <w:color w:val="000000"/>
          <w:sz w:val="24"/>
          <w:szCs w:val="24"/>
        </w:rPr>
      </w:pPr>
    </w:p>
    <w:p w:rsidR="000A42C6" w:rsidRPr="000A42C6" w:rsidRDefault="000A42C6" w:rsidP="000A42C6">
      <w:pPr>
        <w:spacing w:line="276" w:lineRule="auto"/>
        <w:contextualSpacing/>
        <w:jc w:val="both"/>
        <w:rPr>
          <w:rFonts w:ascii="Times New Roman" w:eastAsiaTheme="minorEastAsia" w:hAnsi="Times New Roman" w:cs="Times New Roman"/>
          <w:b/>
          <w:color w:val="000000"/>
          <w:sz w:val="24"/>
          <w:szCs w:val="24"/>
        </w:rPr>
      </w:pPr>
      <w:r w:rsidRPr="000A42C6">
        <w:rPr>
          <w:rFonts w:ascii="Times New Roman" w:eastAsiaTheme="minorEastAsia" w:hAnsi="Times New Roman" w:cs="Times New Roman"/>
          <w:b/>
          <w:color w:val="000000"/>
          <w:sz w:val="24"/>
          <w:szCs w:val="24"/>
        </w:rPr>
        <w:t xml:space="preserve">9.3.2.3.2. Karşılaştırma Ölçütü Bulunmayan Fonlar </w:t>
      </w:r>
      <w:r w:rsidR="00E94AF6" w:rsidRPr="00E94AF6">
        <w:rPr>
          <w:rFonts w:ascii="Times New Roman" w:eastAsiaTheme="minorEastAsia" w:hAnsi="Times New Roman" w:cs="Times New Roman"/>
          <w:b/>
          <w:color w:val="000000"/>
          <w:sz w:val="24"/>
          <w:szCs w:val="24"/>
        </w:rPr>
        <w:t xml:space="preserve">(Değişiklik: </w:t>
      </w:r>
      <w:r w:rsidR="00E94AF6">
        <w:rPr>
          <w:rFonts w:ascii="Times New Roman" w:eastAsiaTheme="minorEastAsia" w:hAnsi="Times New Roman" w:cs="Times New Roman"/>
          <w:b/>
          <w:color w:val="000000"/>
          <w:sz w:val="24"/>
          <w:szCs w:val="24"/>
        </w:rPr>
        <w:t>07.02.2019</w:t>
      </w:r>
      <w:r w:rsidR="00E94AF6" w:rsidRPr="00E94AF6">
        <w:rPr>
          <w:rFonts w:ascii="Times New Roman" w:eastAsiaTheme="minorEastAsia" w:hAnsi="Times New Roman" w:cs="Times New Roman"/>
          <w:b/>
          <w:color w:val="000000"/>
          <w:sz w:val="24"/>
          <w:szCs w:val="24"/>
        </w:rPr>
        <w:t xml:space="preserve"> tarih ve </w:t>
      </w:r>
      <w:r w:rsidR="00E94AF6">
        <w:rPr>
          <w:rFonts w:ascii="Times New Roman" w:eastAsiaTheme="minorEastAsia" w:hAnsi="Times New Roman" w:cs="Times New Roman"/>
          <w:b/>
          <w:color w:val="000000"/>
          <w:sz w:val="24"/>
          <w:szCs w:val="24"/>
        </w:rPr>
        <w:t>8</w:t>
      </w:r>
      <w:r w:rsidR="00E94AF6" w:rsidRPr="00E94AF6">
        <w:rPr>
          <w:rFonts w:ascii="Times New Roman" w:eastAsiaTheme="minorEastAsia" w:hAnsi="Times New Roman" w:cs="Times New Roman"/>
          <w:b/>
          <w:color w:val="000000"/>
          <w:sz w:val="24"/>
          <w:szCs w:val="24"/>
        </w:rPr>
        <w:t>/</w:t>
      </w:r>
      <w:r w:rsidR="00E94AF6">
        <w:rPr>
          <w:rFonts w:ascii="Times New Roman" w:eastAsiaTheme="minorEastAsia" w:hAnsi="Times New Roman" w:cs="Times New Roman"/>
          <w:b/>
          <w:color w:val="000000"/>
          <w:sz w:val="24"/>
          <w:szCs w:val="24"/>
        </w:rPr>
        <w:t>184</w:t>
      </w:r>
      <w:r w:rsidR="00E94AF6" w:rsidRPr="00E94AF6">
        <w:rPr>
          <w:rFonts w:ascii="Times New Roman" w:eastAsiaTheme="minorEastAsia" w:hAnsi="Times New Roman" w:cs="Times New Roman"/>
          <w:b/>
          <w:color w:val="000000"/>
          <w:sz w:val="24"/>
          <w:szCs w:val="24"/>
        </w:rPr>
        <w:t xml:space="preserve"> sayılı Kurul Kararı ile)</w:t>
      </w:r>
    </w:p>
    <w:p w:rsidR="000A42C6" w:rsidRDefault="000A42C6" w:rsidP="000A42C6">
      <w:pPr>
        <w:spacing w:line="276" w:lineRule="auto"/>
        <w:ind w:firstLine="709"/>
        <w:contextualSpacing/>
        <w:jc w:val="both"/>
        <w:rPr>
          <w:rFonts w:ascii="Times New Roman" w:eastAsiaTheme="minorEastAsia" w:hAnsi="Times New Roman" w:cs="Times New Roman"/>
          <w:color w:val="000000"/>
          <w:sz w:val="24"/>
          <w:szCs w:val="24"/>
        </w:rPr>
      </w:pPr>
    </w:p>
    <w:p w:rsidR="000A42C6" w:rsidRPr="000A42C6" w:rsidRDefault="000A42C6" w:rsidP="000A42C6">
      <w:pPr>
        <w:spacing w:line="276" w:lineRule="auto"/>
        <w:ind w:firstLine="709"/>
        <w:contextualSpacing/>
        <w:jc w:val="both"/>
        <w:rPr>
          <w:rFonts w:ascii="Times New Roman" w:eastAsiaTheme="minorEastAsia" w:hAnsi="Times New Roman" w:cs="Times New Roman"/>
          <w:color w:val="000000"/>
          <w:sz w:val="24"/>
          <w:szCs w:val="24"/>
        </w:rPr>
      </w:pPr>
      <w:r w:rsidRPr="000A42C6">
        <w:rPr>
          <w:rFonts w:ascii="Times New Roman" w:eastAsiaTheme="minorEastAsia" w:hAnsi="Times New Roman" w:cs="Times New Roman"/>
          <w:color w:val="000000"/>
          <w:sz w:val="24"/>
          <w:szCs w:val="24"/>
        </w:rPr>
        <w:t>Karşılaştırma ölçütü bulunmayan fonlar için aşağıda yer alan iki farklı yönteme göre Risk Değeri (RD) belirlenir ve bu değerlerden büyük olanı dikkate alınır:</w:t>
      </w:r>
    </w:p>
    <w:p w:rsidR="000A42C6" w:rsidRPr="000A42C6" w:rsidRDefault="000A42C6" w:rsidP="000A42C6">
      <w:pPr>
        <w:spacing w:line="276" w:lineRule="auto"/>
        <w:ind w:firstLine="709"/>
        <w:contextualSpacing/>
        <w:jc w:val="both"/>
        <w:rPr>
          <w:rFonts w:ascii="Times New Roman" w:eastAsiaTheme="minorEastAsia" w:hAnsi="Times New Roman" w:cs="Times New Roman"/>
          <w:color w:val="000000"/>
          <w:sz w:val="24"/>
          <w:szCs w:val="24"/>
        </w:rPr>
      </w:pPr>
      <w:r w:rsidRPr="000A42C6">
        <w:rPr>
          <w:rFonts w:ascii="Times New Roman" w:eastAsiaTheme="minorEastAsia" w:hAnsi="Times New Roman" w:cs="Times New Roman"/>
          <w:color w:val="000000"/>
          <w:sz w:val="24"/>
          <w:szCs w:val="24"/>
        </w:rPr>
        <w:t xml:space="preserve">a- Fonun 5 yıllık geçmiş verilere sahip olması halinde bu veriler kullanılarak hesaplanacak volatilite sonucu ulaşılacak RD, </w:t>
      </w:r>
    </w:p>
    <w:p w:rsidR="000A42C6" w:rsidRPr="000A42C6" w:rsidRDefault="000A42C6" w:rsidP="000A42C6">
      <w:pPr>
        <w:spacing w:line="276" w:lineRule="auto"/>
        <w:ind w:firstLine="709"/>
        <w:contextualSpacing/>
        <w:jc w:val="both"/>
        <w:rPr>
          <w:rFonts w:ascii="Times New Roman" w:eastAsiaTheme="minorEastAsia" w:hAnsi="Times New Roman" w:cs="Times New Roman"/>
          <w:color w:val="000000"/>
          <w:sz w:val="24"/>
          <w:szCs w:val="24"/>
        </w:rPr>
      </w:pPr>
      <w:r w:rsidRPr="000A42C6">
        <w:rPr>
          <w:rFonts w:ascii="Times New Roman" w:eastAsiaTheme="minorEastAsia" w:hAnsi="Times New Roman" w:cs="Times New Roman"/>
          <w:color w:val="000000"/>
          <w:sz w:val="24"/>
          <w:szCs w:val="24"/>
        </w:rPr>
        <w:t>b- Fonun ilgili dönemler süresince sahip olduğu portföy dağılımı dikkate alınmaksızın, hesaplamanın yapıldığı tarihteki fon varlık dağılımının dikkate alınması suretiyle belirlenecek referans portföyün geçmiş 5 yıllık getirileri kullanılarak hesaplanacak volatilite sonucu ulaşılacak RD.</w:t>
      </w:r>
    </w:p>
    <w:p w:rsidR="00B41810" w:rsidRDefault="00B41810" w:rsidP="00B41810">
      <w:pPr>
        <w:spacing w:after="0"/>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ab/>
      </w:r>
    </w:p>
    <w:p w:rsidR="00B41810" w:rsidRPr="00832677" w:rsidRDefault="000C6C1D" w:rsidP="00B41810">
      <w:pPr>
        <w:pStyle w:val="Heading5"/>
        <w:rPr>
          <w:rFonts w:eastAsiaTheme="minorEastAsia"/>
        </w:rPr>
      </w:pPr>
      <w:r>
        <w:rPr>
          <w:rFonts w:eastAsiaTheme="minorEastAsia"/>
        </w:rPr>
        <w:t>9</w:t>
      </w:r>
      <w:r w:rsidR="009F3445">
        <w:rPr>
          <w:rFonts w:eastAsiaTheme="minorEastAsia"/>
        </w:rPr>
        <w:t>.3</w:t>
      </w:r>
      <w:r w:rsidR="00B41810">
        <w:rPr>
          <w:rFonts w:eastAsiaTheme="minorEastAsia"/>
        </w:rPr>
        <w:t xml:space="preserve">.2.3.3. </w:t>
      </w:r>
      <w:r w:rsidR="00111170">
        <w:rPr>
          <w:rFonts w:eastAsiaTheme="minorEastAsia"/>
        </w:rPr>
        <w:t>Koruma Amaçlı ve G</w:t>
      </w:r>
      <w:r w:rsidR="00B41810" w:rsidRPr="00832677">
        <w:rPr>
          <w:rFonts w:eastAsiaTheme="minorEastAsia"/>
        </w:rPr>
        <w:t>arantil</w:t>
      </w:r>
      <w:r w:rsidR="00111170">
        <w:rPr>
          <w:rFonts w:eastAsiaTheme="minorEastAsia"/>
        </w:rPr>
        <w:t>i F</w:t>
      </w:r>
      <w:r w:rsidR="00B41810" w:rsidRPr="00832677">
        <w:rPr>
          <w:rFonts w:eastAsiaTheme="minorEastAsia"/>
        </w:rPr>
        <w:t>onlar</w:t>
      </w:r>
    </w:p>
    <w:p w:rsidR="00B41810" w:rsidRDefault="00B41810" w:rsidP="00B41810">
      <w:pPr>
        <w:spacing w:after="0"/>
        <w:jc w:val="both"/>
        <w:rPr>
          <w:rFonts w:ascii="Times New Roman" w:eastAsiaTheme="minorEastAsia" w:hAnsi="Times New Roman" w:cs="Times New Roman"/>
          <w:color w:val="000000"/>
          <w:sz w:val="24"/>
          <w:szCs w:val="24"/>
        </w:rPr>
      </w:pPr>
    </w:p>
    <w:p w:rsidR="00B41810" w:rsidRDefault="00B41810" w:rsidP="00B41810">
      <w:pPr>
        <w:spacing w:after="0"/>
        <w:ind w:firstLine="708"/>
        <w:jc w:val="both"/>
        <w:rPr>
          <w:rFonts w:ascii="Times New Roman" w:eastAsiaTheme="minorEastAsia" w:hAnsi="Times New Roman" w:cs="Times New Roman"/>
          <w:color w:val="000000"/>
          <w:sz w:val="24"/>
          <w:szCs w:val="24"/>
        </w:rPr>
      </w:pPr>
      <w:r w:rsidRPr="00832677">
        <w:rPr>
          <w:rFonts w:ascii="Times New Roman" w:eastAsiaTheme="minorEastAsia" w:hAnsi="Times New Roman" w:cs="Times New Roman"/>
          <w:color w:val="000000"/>
          <w:sz w:val="24"/>
          <w:szCs w:val="24"/>
        </w:rPr>
        <w:t>Koruma amaçlı ve garantili fonlar</w:t>
      </w:r>
      <w:r>
        <w:rPr>
          <w:rFonts w:ascii="Times New Roman" w:eastAsiaTheme="minorEastAsia" w:hAnsi="Times New Roman" w:cs="Times New Roman"/>
          <w:color w:val="000000"/>
          <w:sz w:val="24"/>
          <w:szCs w:val="24"/>
        </w:rPr>
        <w:t xml:space="preserve"> için RD, yatırım dönemi sonu için hesaplanan %99 güven aralığındaki</w:t>
      </w:r>
      <w:r w:rsidR="00D13A77">
        <w:rPr>
          <w:rFonts w:ascii="Times New Roman" w:eastAsiaTheme="minorEastAsia" w:hAnsi="Times New Roman" w:cs="Times New Roman"/>
          <w:color w:val="000000"/>
          <w:sz w:val="24"/>
          <w:szCs w:val="24"/>
        </w:rPr>
        <w:t>,</w:t>
      </w:r>
      <w:r w:rsidR="00BA4656">
        <w:rPr>
          <w:rFonts w:ascii="Times New Roman" w:eastAsiaTheme="minorEastAsia" w:hAnsi="Times New Roman" w:cs="Times New Roman"/>
          <w:color w:val="000000"/>
          <w:sz w:val="24"/>
          <w:szCs w:val="24"/>
        </w:rPr>
        <w:t xml:space="preserve"> </w:t>
      </w:r>
      <w:r w:rsidR="006E0A12">
        <w:rPr>
          <w:rFonts w:ascii="Times New Roman" w:eastAsiaTheme="minorEastAsia" w:hAnsi="Times New Roman" w:cs="Times New Roman"/>
          <w:color w:val="000000"/>
          <w:sz w:val="24"/>
          <w:szCs w:val="24"/>
        </w:rPr>
        <w:t xml:space="preserve">aşağıdaki aşamalar takip edilerek </w:t>
      </w:r>
      <w:r w:rsidR="00580AF4">
        <w:rPr>
          <w:rFonts w:ascii="Times New Roman" w:eastAsiaTheme="minorEastAsia" w:hAnsi="Times New Roman" w:cs="Times New Roman"/>
          <w:color w:val="000000"/>
          <w:sz w:val="24"/>
          <w:szCs w:val="24"/>
        </w:rPr>
        <w:t xml:space="preserve">RMD </w:t>
      </w:r>
      <w:r>
        <w:rPr>
          <w:rFonts w:ascii="Times New Roman" w:eastAsiaTheme="minorEastAsia" w:hAnsi="Times New Roman" w:cs="Times New Roman"/>
          <w:color w:val="000000"/>
          <w:sz w:val="24"/>
          <w:szCs w:val="24"/>
        </w:rPr>
        <w:t>değerinden türetilen volatilite değeri kullanılarak bulunur</w:t>
      </w:r>
      <w:r w:rsidR="00580AF4">
        <w:rPr>
          <w:rFonts w:ascii="Times New Roman" w:eastAsiaTheme="minorEastAsia" w:hAnsi="Times New Roman" w:cs="Times New Roman"/>
          <w:color w:val="000000"/>
          <w:sz w:val="24"/>
          <w:szCs w:val="24"/>
        </w:rPr>
        <w:t>:</w:t>
      </w:r>
    </w:p>
    <w:p w:rsidR="00B41810" w:rsidRDefault="00B41810" w:rsidP="005845F8">
      <w:pPr>
        <w:spacing w:after="0"/>
        <w:ind w:firstLine="708"/>
        <w:jc w:val="both"/>
        <w:rPr>
          <w:rFonts w:ascii="Times New Roman" w:eastAsiaTheme="minorEastAsia" w:hAnsi="Times New Roman" w:cs="Times New Roman"/>
          <w:color w:val="000000"/>
          <w:sz w:val="24"/>
          <w:szCs w:val="24"/>
        </w:rPr>
      </w:pPr>
      <w:r w:rsidRPr="001D0A0E">
        <w:rPr>
          <w:rFonts w:ascii="Times New Roman" w:eastAsiaTheme="minorEastAsia" w:hAnsi="Times New Roman" w:cs="Times New Roman"/>
          <w:color w:val="000000"/>
          <w:sz w:val="24"/>
          <w:szCs w:val="24"/>
        </w:rPr>
        <w:t>a</w:t>
      </w:r>
      <w:r w:rsidR="00580AF4">
        <w:rPr>
          <w:rFonts w:ascii="Times New Roman" w:eastAsiaTheme="minorEastAsia" w:hAnsi="Times New Roman" w:cs="Times New Roman"/>
          <w:color w:val="000000"/>
          <w:sz w:val="24"/>
          <w:szCs w:val="24"/>
        </w:rPr>
        <w:t>)</w:t>
      </w:r>
      <w:r>
        <w:rPr>
          <w:rFonts w:ascii="Times New Roman" w:eastAsiaTheme="minorEastAsia" w:hAnsi="Times New Roman" w:cs="Times New Roman"/>
          <w:color w:val="000000"/>
          <w:sz w:val="24"/>
          <w:szCs w:val="24"/>
        </w:rPr>
        <w:t xml:space="preserve"> Fonun izlediği strateji kapsamında fonun geçmiş 5 yıl içinde, yatırım süresi dikkate alınarak, yatırım döneminin getirileri her hafta hesaplanır ve getirilerin logaritması alınır. </w:t>
      </w:r>
    </w:p>
    <w:p w:rsidR="00B41810" w:rsidRDefault="00B41810" w:rsidP="005845F8">
      <w:pPr>
        <w:spacing w:after="0"/>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ab/>
        <w:t>b</w:t>
      </w:r>
      <w:r w:rsidR="00580AF4">
        <w:rPr>
          <w:rFonts w:ascii="Times New Roman" w:eastAsiaTheme="minorEastAsia" w:hAnsi="Times New Roman" w:cs="Times New Roman"/>
          <w:color w:val="000000"/>
          <w:sz w:val="24"/>
          <w:szCs w:val="24"/>
        </w:rPr>
        <w:t>)</w:t>
      </w:r>
      <w:r>
        <w:rPr>
          <w:rFonts w:ascii="Times New Roman" w:eastAsiaTheme="minorEastAsia" w:hAnsi="Times New Roman" w:cs="Times New Roman"/>
          <w:color w:val="000000"/>
          <w:sz w:val="24"/>
          <w:szCs w:val="24"/>
        </w:rPr>
        <w:t xml:space="preserve"> Bu getirilerin içerisindeki en alt dilime denk gelen %1’lik getiri fonun %99 güven aralığındaki RMD değerini verir. Burada log getirilerin aşağıdaki şekilde normal dağılımı sergilediği varsayılır.</w:t>
      </w:r>
    </w:p>
    <w:p w:rsidR="00B41810" w:rsidRDefault="00B41810" w:rsidP="00B41810">
      <w:pPr>
        <w:spacing w:after="0"/>
        <w:rPr>
          <w:rFonts w:ascii="Times New Roman" w:eastAsiaTheme="minorEastAsia" w:hAnsi="Times New Roman" w:cs="Times New Roman"/>
          <w:color w:val="000000"/>
          <w:sz w:val="24"/>
          <w:szCs w:val="24"/>
        </w:rPr>
      </w:pPr>
    </w:p>
    <w:p w:rsidR="00B41810" w:rsidRDefault="00907849" w:rsidP="00B41810">
      <w:pPr>
        <w:spacing w:after="0"/>
        <w:ind w:left="2268" w:firstLine="708"/>
        <w:rPr>
          <w:rFonts w:ascii="Times New Roman" w:eastAsiaTheme="minorEastAsia" w:hAnsi="Times New Roman" w:cs="Times New Roman"/>
          <w:color w:val="000000"/>
          <w:sz w:val="24"/>
          <w:szCs w:val="24"/>
        </w:rPr>
      </w:pPr>
      <m:oMath>
        <m:func>
          <m:funcPr>
            <m:ctrlPr>
              <w:rPr>
                <w:rFonts w:ascii="Cambria Math" w:eastAsiaTheme="minorEastAsia" w:hAnsi="Cambria Math" w:cs="Times New Roman"/>
                <w:i/>
                <w:color w:val="000000"/>
                <w:sz w:val="24"/>
                <w:szCs w:val="24"/>
              </w:rPr>
            </m:ctrlPr>
          </m:funcPr>
          <m:fName>
            <m:r>
              <m:rPr>
                <m:sty m:val="p"/>
              </m:rPr>
              <w:rPr>
                <w:rFonts w:ascii="Cambria Math" w:eastAsiaTheme="minorEastAsia" w:hAnsi="Cambria Math" w:cs="Times New Roman"/>
                <w:color w:val="000000"/>
                <w:sz w:val="24"/>
                <w:szCs w:val="24"/>
              </w:rPr>
              <m:t>ln</m:t>
            </m:r>
          </m:fName>
          <m:e>
            <m:r>
              <w:rPr>
                <w:rFonts w:ascii="Cambria Math" w:eastAsiaTheme="minorEastAsia" w:hAnsi="Cambria Math" w:cs="Times New Roman"/>
                <w:color w:val="000000"/>
                <w:sz w:val="24"/>
                <w:szCs w:val="24"/>
              </w:rPr>
              <m:t>(</m:t>
            </m:r>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R</m:t>
                </m:r>
              </m:e>
              <m:sub>
                <m:r>
                  <w:rPr>
                    <w:rFonts w:ascii="Cambria Math" w:eastAsiaTheme="minorEastAsia" w:hAnsi="Cambria Math" w:cs="Times New Roman"/>
                    <w:color w:val="000000"/>
                    <w:sz w:val="24"/>
                    <w:szCs w:val="24"/>
                  </w:rPr>
                  <m:t>fon</m:t>
                </m:r>
              </m:sub>
            </m:sSub>
            <m:r>
              <w:rPr>
                <w:rFonts w:ascii="Cambria Math" w:eastAsiaTheme="minorEastAsia" w:hAnsi="Cambria Math" w:cs="Times New Roman"/>
                <w:color w:val="000000"/>
                <w:sz w:val="24"/>
                <w:szCs w:val="24"/>
              </w:rPr>
              <m:t>)</m:t>
            </m:r>
          </m:e>
        </m:func>
        <m:r>
          <w:rPr>
            <w:rFonts w:ascii="Cambria Math" w:eastAsiaTheme="minorEastAsia" w:hAnsi="Cambria Math" w:cs="Times New Roman"/>
            <w:color w:val="000000"/>
            <w:sz w:val="24"/>
            <w:szCs w:val="24"/>
          </w:rPr>
          <m:t>~ N(</m:t>
        </m:r>
        <m:d>
          <m:dPr>
            <m:ctrlPr>
              <w:rPr>
                <w:rFonts w:ascii="Cambria Math" w:eastAsiaTheme="minorEastAsia" w:hAnsi="Cambria Math" w:cs="Times New Roman"/>
                <w:i/>
                <w:color w:val="000000"/>
                <w:sz w:val="24"/>
                <w:szCs w:val="24"/>
              </w:rPr>
            </m:ctrlPr>
          </m:dPr>
          <m:e>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rf</m:t>
                </m:r>
              </m:e>
              <m:sub>
                <m:r>
                  <w:rPr>
                    <w:rFonts w:ascii="Cambria Math" w:eastAsiaTheme="minorEastAsia" w:hAnsi="Cambria Math" w:cs="Times New Roman"/>
                    <w:color w:val="000000"/>
                    <w:sz w:val="24"/>
                    <w:szCs w:val="24"/>
                  </w:rPr>
                  <m:t>w</m:t>
                </m:r>
              </m:sub>
            </m:sSub>
            <m:r>
              <w:rPr>
                <w:rFonts w:ascii="Cambria Math" w:eastAsiaTheme="minorEastAsia" w:hAnsi="Cambria Math" w:cs="Times New Roman"/>
                <w:color w:val="000000"/>
                <w:sz w:val="24"/>
                <w:szCs w:val="24"/>
              </w:rPr>
              <m:t>-</m:t>
            </m:r>
            <m:f>
              <m:fPr>
                <m:ctrlPr>
                  <w:rPr>
                    <w:rFonts w:ascii="Cambria Math" w:eastAsiaTheme="minorEastAsia" w:hAnsi="Cambria Math" w:cs="Times New Roman"/>
                    <w:i/>
                    <w:color w:val="000000"/>
                    <w:sz w:val="24"/>
                    <w:szCs w:val="24"/>
                  </w:rPr>
                </m:ctrlPr>
              </m:fPr>
              <m:num>
                <m:sSubSup>
                  <m:sSubSupPr>
                    <m:ctrlPr>
                      <w:rPr>
                        <w:rFonts w:ascii="Cambria Math" w:eastAsiaTheme="minorEastAsia" w:hAnsi="Cambria Math" w:cs="Times New Roman"/>
                        <w:i/>
                        <w:color w:val="000000"/>
                        <w:sz w:val="24"/>
                        <w:szCs w:val="24"/>
                      </w:rPr>
                    </m:ctrlPr>
                  </m:sSubSupPr>
                  <m:e>
                    <m:r>
                      <w:rPr>
                        <w:rFonts w:ascii="Cambria Math" w:eastAsiaTheme="minorEastAsia" w:hAnsi="Cambria Math" w:cs="Times New Roman"/>
                        <w:color w:val="000000"/>
                        <w:sz w:val="24"/>
                        <w:szCs w:val="24"/>
                      </w:rPr>
                      <m:t>σ</m:t>
                    </m:r>
                  </m:e>
                  <m:sub>
                    <m:r>
                      <w:rPr>
                        <w:rFonts w:ascii="Cambria Math" w:eastAsiaTheme="minorEastAsia" w:hAnsi="Cambria Math" w:cs="Times New Roman"/>
                        <w:color w:val="000000"/>
                        <w:sz w:val="24"/>
                        <w:szCs w:val="24"/>
                      </w:rPr>
                      <m:t>w</m:t>
                    </m:r>
                  </m:sub>
                  <m:sup>
                    <m:r>
                      <w:rPr>
                        <w:rFonts w:ascii="Cambria Math" w:eastAsiaTheme="minorEastAsia" w:hAnsi="Cambria Math" w:cs="Times New Roman"/>
                        <w:color w:val="000000"/>
                        <w:sz w:val="24"/>
                        <w:szCs w:val="24"/>
                      </w:rPr>
                      <m:t>2</m:t>
                    </m:r>
                  </m:sup>
                </m:sSubSup>
              </m:num>
              <m:den>
                <m:r>
                  <w:rPr>
                    <w:rFonts w:ascii="Cambria Math" w:eastAsiaTheme="minorEastAsia" w:hAnsi="Cambria Math" w:cs="Times New Roman"/>
                    <w:color w:val="000000"/>
                    <w:sz w:val="24"/>
                    <w:szCs w:val="24"/>
                  </w:rPr>
                  <m:t>2</m:t>
                </m:r>
              </m:den>
            </m:f>
          </m:e>
        </m:d>
        <m:r>
          <w:rPr>
            <w:rFonts w:ascii="Cambria Math" w:eastAsiaTheme="minorEastAsia" w:hAnsi="Cambria Math" w:cs="Times New Roman"/>
            <w:color w:val="000000"/>
            <w:sz w:val="24"/>
            <w:szCs w:val="24"/>
          </w:rPr>
          <m:t xml:space="preserve">xT; </m:t>
        </m:r>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σ</m:t>
            </m:r>
          </m:e>
          <m:sub>
            <m:r>
              <w:rPr>
                <w:rFonts w:ascii="Cambria Math" w:eastAsiaTheme="minorEastAsia" w:hAnsi="Cambria Math" w:cs="Times New Roman"/>
                <w:color w:val="000000"/>
                <w:sz w:val="24"/>
                <w:szCs w:val="24"/>
              </w:rPr>
              <m:t>w</m:t>
            </m:r>
          </m:sub>
        </m:sSub>
        <m:rad>
          <m:radPr>
            <m:degHide m:val="1"/>
            <m:ctrlPr>
              <w:rPr>
                <w:rFonts w:ascii="Cambria Math" w:eastAsiaTheme="minorEastAsia" w:hAnsi="Cambria Math" w:cs="Times New Roman"/>
                <w:i/>
                <w:color w:val="000000"/>
                <w:sz w:val="24"/>
                <w:szCs w:val="24"/>
              </w:rPr>
            </m:ctrlPr>
          </m:radPr>
          <m:deg/>
          <m:e>
            <m:r>
              <w:rPr>
                <w:rFonts w:ascii="Cambria Math" w:eastAsiaTheme="minorEastAsia" w:hAnsi="Cambria Math" w:cs="Times New Roman"/>
                <w:color w:val="000000"/>
                <w:sz w:val="24"/>
                <w:szCs w:val="24"/>
              </w:rPr>
              <m:t>T</m:t>
            </m:r>
          </m:e>
        </m:rad>
      </m:oMath>
      <w:r w:rsidR="00B41810">
        <w:rPr>
          <w:rFonts w:ascii="Times New Roman" w:eastAsiaTheme="minorEastAsia" w:hAnsi="Times New Roman" w:cs="Times New Roman"/>
          <w:color w:val="000000"/>
          <w:sz w:val="24"/>
          <w:szCs w:val="24"/>
        </w:rPr>
        <w:t>)</w:t>
      </w:r>
    </w:p>
    <w:p w:rsidR="00B41810" w:rsidRPr="001D0A0E" w:rsidRDefault="00907849" w:rsidP="00B41810">
      <w:pPr>
        <w:spacing w:after="0"/>
        <w:jc w:val="center"/>
        <w:rPr>
          <w:rFonts w:ascii="Times New Roman" w:eastAsiaTheme="minorEastAsia" w:hAnsi="Times New Roman" w:cs="Times New Roman"/>
          <w:color w:val="000000"/>
          <w:sz w:val="24"/>
          <w:szCs w:val="24"/>
        </w:rPr>
      </w:pPr>
      <m:oMathPara>
        <m:oMathParaPr>
          <m:jc m:val="center"/>
        </m:oMathParaPr>
        <m:oMath>
          <m:sSub>
            <m:sSubPr>
              <m:ctrlPr>
                <w:rPr>
                  <w:rFonts w:ascii="Cambria Math" w:eastAsiaTheme="minorEastAsia" w:hAnsi="Cambria Math" w:cs="Cambria Math"/>
                  <w:i/>
                  <w:color w:val="000000"/>
                  <w:sz w:val="24"/>
                  <w:szCs w:val="24"/>
                </w:rPr>
              </m:ctrlPr>
            </m:sSubPr>
            <m:e>
              <m:r>
                <w:rPr>
                  <w:rFonts w:ascii="Cambria Math" w:eastAsiaTheme="minorEastAsia" w:hAnsi="Cambria Math" w:cs="Cambria Math"/>
                  <w:color w:val="000000"/>
                  <w:sz w:val="24"/>
                  <w:szCs w:val="24"/>
                </w:rPr>
                <m:t>R</m:t>
              </m:r>
            </m:e>
            <m:sub>
              <m:r>
                <w:rPr>
                  <w:rFonts w:ascii="Cambria Math" w:eastAsiaTheme="minorEastAsia" w:hAnsi="Cambria Math" w:cs="Cambria Math"/>
                  <w:color w:val="000000"/>
                  <w:sz w:val="24"/>
                  <w:szCs w:val="24"/>
                </w:rPr>
                <m:t>fon</m:t>
              </m:r>
            </m:sub>
          </m:sSub>
          <m:r>
            <m:rPr>
              <m:sty m:val="p"/>
            </m:rPr>
            <w:rPr>
              <w:rFonts w:ascii="Cambria Math" w:eastAsiaTheme="minorEastAsia" w:hAnsi="Cambria Math" w:cs="Cambria Math"/>
              <w:color w:val="000000"/>
              <w:sz w:val="24"/>
              <w:szCs w:val="24"/>
            </w:rPr>
            <m:t>=</m:t>
          </m:r>
          <m:f>
            <m:fPr>
              <m:ctrlPr>
                <w:rPr>
                  <w:rFonts w:ascii="Cambria Math" w:eastAsiaTheme="minorEastAsia" w:hAnsi="Cambria Math" w:cs="Times New Roman"/>
                  <w:color w:val="000000"/>
                  <w:sz w:val="24"/>
                  <w:szCs w:val="24"/>
                </w:rPr>
              </m:ctrlPr>
            </m:fPr>
            <m:num>
              <m:sSup>
                <m:sSupPr>
                  <m:ctrlPr>
                    <w:rPr>
                      <w:rFonts w:ascii="Cambria Math" w:eastAsiaTheme="minorEastAsia" w:hAnsi="Cambria Math" w:cs="Times New Roman"/>
                      <w:i/>
                      <w:color w:val="000000"/>
                      <w:sz w:val="24"/>
                      <w:szCs w:val="24"/>
                    </w:rPr>
                  </m:ctrlPr>
                </m:sSupPr>
                <m:e>
                  <m:r>
                    <w:rPr>
                      <w:rFonts w:ascii="Cambria Math" w:eastAsiaTheme="minorEastAsia" w:hAnsi="Cambria Math" w:cs="Times New Roman"/>
                      <w:color w:val="000000"/>
                      <w:sz w:val="24"/>
                      <w:szCs w:val="24"/>
                    </w:rPr>
                    <m:t>BPD</m:t>
                  </m:r>
                </m:e>
                <m:sup>
                  <m:r>
                    <w:rPr>
                      <w:rFonts w:ascii="Cambria Math" w:eastAsiaTheme="minorEastAsia" w:hAnsi="Cambria Math" w:cs="Times New Roman"/>
                      <w:color w:val="000000"/>
                      <w:sz w:val="24"/>
                      <w:szCs w:val="24"/>
                    </w:rPr>
                    <m:t>T</m:t>
                  </m:r>
                </m:sup>
              </m:sSup>
            </m:num>
            <m:den>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BPD</m:t>
                  </m:r>
                </m:e>
                <m:sub>
                  <m:r>
                    <w:rPr>
                      <w:rFonts w:ascii="Cambria Math" w:eastAsiaTheme="minorEastAsia" w:hAnsi="Cambria Math" w:cs="Times New Roman"/>
                      <w:color w:val="000000"/>
                      <w:sz w:val="24"/>
                      <w:szCs w:val="24"/>
                    </w:rPr>
                    <m:t>0</m:t>
                  </m:r>
                </m:sub>
              </m:sSub>
            </m:den>
          </m:f>
        </m:oMath>
      </m:oMathPara>
    </w:p>
    <w:p w:rsidR="00B41810" w:rsidRDefault="00B41810" w:rsidP="00B41810">
      <w:pPr>
        <w:spacing w:after="0"/>
        <w:ind w:left="2552"/>
        <w:rPr>
          <w:rFonts w:ascii="Times New Roman" w:eastAsiaTheme="minorEastAsia" w:hAnsi="Times New Roman" w:cs="Times New Roman"/>
          <w:color w:val="000000"/>
          <w:sz w:val="24"/>
          <w:szCs w:val="24"/>
        </w:rPr>
      </w:pPr>
    </w:p>
    <w:p w:rsidR="00B41810" w:rsidRDefault="00B41810" w:rsidP="00B41810">
      <w:pPr>
        <w:spacing w:after="0"/>
        <w:ind w:left="2552"/>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T = Fonun yatırım dönemi içerisindeki hafta sayısı</w:t>
      </w:r>
    </w:p>
    <w:p w:rsidR="00B41810" w:rsidRPr="004B250A" w:rsidRDefault="00B41810" w:rsidP="00B41810">
      <w:pPr>
        <w:spacing w:after="0"/>
        <w:ind w:left="2552"/>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BPD = Birim pay değeri</w:t>
      </w:r>
    </w:p>
    <w:p w:rsidR="00B41810" w:rsidRPr="00AB2E2C" w:rsidRDefault="00907849" w:rsidP="00B41810">
      <w:pPr>
        <w:spacing w:after="0"/>
        <w:ind w:left="2552"/>
        <w:rPr>
          <w:rFonts w:ascii="Times New Roman" w:eastAsiaTheme="minorEastAsia" w:hAnsi="Times New Roman" w:cs="Times New Roman"/>
          <w:i/>
          <w:color w:val="000000"/>
          <w:sz w:val="24"/>
          <w:szCs w:val="24"/>
        </w:rPr>
      </w:pPr>
      <m:oMathPara>
        <m:oMathParaPr>
          <m:jc m:val="center"/>
        </m:oMathParaPr>
        <m:oMath>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rf</m:t>
              </m:r>
            </m:e>
            <m:sub>
              <m:r>
                <w:rPr>
                  <w:rFonts w:ascii="Cambria Math" w:eastAsiaTheme="minorEastAsia" w:hAnsi="Cambria Math" w:cs="Times New Roman"/>
                  <w:color w:val="000000"/>
                  <w:sz w:val="24"/>
                  <w:szCs w:val="24"/>
                </w:rPr>
                <m:t>w</m:t>
              </m:r>
            </m:sub>
          </m:sSub>
          <m:r>
            <w:rPr>
              <w:rFonts w:ascii="Cambria Math" w:eastAsiaTheme="minorEastAsia" w:hAnsi="Cambria Math" w:cs="Times New Roman"/>
              <w:color w:val="000000"/>
              <w:sz w:val="24"/>
              <w:szCs w:val="24"/>
            </w:rPr>
            <m:t>=fonun yatırım dönemi için geçerli olan haftalık risksiz getiri oranı</m:t>
          </m:r>
        </m:oMath>
      </m:oMathPara>
    </w:p>
    <w:p w:rsidR="00B41810" w:rsidRPr="00235D0D" w:rsidRDefault="00907849" w:rsidP="00B41810">
      <w:pPr>
        <w:spacing w:after="0"/>
        <w:ind w:left="2552"/>
        <w:rPr>
          <w:rFonts w:ascii="Times New Roman" w:eastAsiaTheme="minorEastAsia" w:hAnsi="Times New Roman" w:cs="Times New Roman"/>
          <w:i/>
          <w:color w:val="000000"/>
          <w:sz w:val="24"/>
          <w:szCs w:val="24"/>
        </w:rPr>
      </w:pPr>
      <m:oMathPara>
        <m:oMathParaPr>
          <m:jc m:val="left"/>
        </m:oMathParaPr>
        <m:oMath>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σ</m:t>
              </m:r>
            </m:e>
            <m:sub>
              <m:r>
                <w:rPr>
                  <w:rFonts w:ascii="Cambria Math" w:eastAsiaTheme="minorEastAsia" w:hAnsi="Cambria Math" w:cs="Times New Roman"/>
                  <w:color w:val="000000"/>
                  <w:sz w:val="24"/>
                  <w:szCs w:val="24"/>
                </w:rPr>
                <m:t>w</m:t>
              </m:r>
            </m:sub>
          </m:sSub>
          <m:r>
            <w:rPr>
              <w:rFonts w:ascii="Cambria Math" w:eastAsiaTheme="minorEastAsia" w:hAnsi="Cambria Math" w:cs="Times New Roman"/>
              <w:color w:val="000000"/>
              <w:sz w:val="24"/>
              <w:szCs w:val="24"/>
            </w:rPr>
            <m:t>=</m:t>
          </m:r>
          <m:func>
            <m:funcPr>
              <m:ctrlPr>
                <w:rPr>
                  <w:rFonts w:ascii="Cambria Math" w:eastAsiaTheme="minorEastAsia" w:hAnsi="Cambria Math" w:cs="Times New Roman"/>
                  <w:i/>
                  <w:color w:val="000000"/>
                  <w:sz w:val="24"/>
                  <w:szCs w:val="24"/>
                </w:rPr>
              </m:ctrlPr>
            </m:funcPr>
            <m:fName>
              <m:r>
                <m:rPr>
                  <m:sty m:val="p"/>
                </m:rPr>
                <w:rPr>
                  <w:rFonts w:ascii="Cambria Math" w:eastAsiaTheme="minorEastAsia" w:hAnsi="Cambria Math" w:cs="Times New Roman"/>
                  <w:color w:val="000000"/>
                  <w:sz w:val="24"/>
                  <w:szCs w:val="24"/>
                </w:rPr>
                <m:t>Log</m:t>
              </m:r>
            </m:fName>
            <m:e>
              <m:r>
                <w:rPr>
                  <w:rFonts w:ascii="Cambria Math" w:eastAsiaTheme="minorEastAsia" w:hAnsi="Cambria Math" w:cs="Times New Roman"/>
                  <w:color w:val="000000"/>
                  <w:sz w:val="24"/>
                  <w:szCs w:val="24"/>
                </w:rPr>
                <m:t>getirilerin volatilitesi</m:t>
              </m:r>
            </m:e>
          </m:func>
        </m:oMath>
      </m:oMathPara>
    </w:p>
    <w:p w:rsidR="00B41810" w:rsidRDefault="00B41810" w:rsidP="00B41810">
      <w:pPr>
        <w:spacing w:after="0"/>
        <w:rPr>
          <w:rFonts w:ascii="Times New Roman" w:eastAsiaTheme="minorEastAsia" w:hAnsi="Times New Roman" w:cs="Times New Roman"/>
          <w:color w:val="000000"/>
          <w:sz w:val="24"/>
          <w:szCs w:val="24"/>
        </w:rPr>
      </w:pPr>
    </w:p>
    <w:p w:rsidR="00B41810" w:rsidRDefault="00B41810" w:rsidP="00BA4656">
      <w:pPr>
        <w:spacing w:after="0"/>
        <w:ind w:left="709"/>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c</w:t>
      </w:r>
      <w:r w:rsidR="00BA4656">
        <w:rPr>
          <w:rFonts w:ascii="Times New Roman" w:eastAsiaTheme="minorEastAsia" w:hAnsi="Times New Roman" w:cs="Times New Roman"/>
          <w:color w:val="000000"/>
          <w:sz w:val="24"/>
          <w:szCs w:val="24"/>
        </w:rPr>
        <w:t>)</w:t>
      </w:r>
      <w:r>
        <w:rPr>
          <w:rFonts w:ascii="Times New Roman" w:eastAsiaTheme="minorEastAsia" w:hAnsi="Times New Roman" w:cs="Times New Roman"/>
          <w:color w:val="000000"/>
          <w:sz w:val="24"/>
          <w:szCs w:val="24"/>
        </w:rPr>
        <w:t xml:space="preserve">  Aşağıdaki formül kullanılarak varyans bulunur.</w:t>
      </w:r>
    </w:p>
    <w:p w:rsidR="00B41810" w:rsidRDefault="00B41810" w:rsidP="00B41810">
      <w:pPr>
        <w:spacing w:after="0"/>
        <w:ind w:firstLine="708"/>
        <w:rPr>
          <w:rFonts w:ascii="Times New Roman" w:eastAsiaTheme="minorEastAsia" w:hAnsi="Times New Roman" w:cs="Times New Roman"/>
          <w:color w:val="000000"/>
          <w:sz w:val="24"/>
          <w:szCs w:val="24"/>
        </w:rPr>
      </w:pPr>
    </w:p>
    <w:p w:rsidR="00B41810" w:rsidRDefault="00B41810" w:rsidP="00B41810">
      <w:pPr>
        <w:spacing w:after="0"/>
        <w:ind w:firstLine="708"/>
        <w:rPr>
          <w:rFonts w:ascii="Times New Roman" w:eastAsiaTheme="minorEastAsia" w:hAnsi="Times New Roman" w:cs="Times New Roman"/>
          <w:color w:val="000000"/>
          <w:sz w:val="24"/>
          <w:szCs w:val="24"/>
        </w:rPr>
      </w:pPr>
      <m:oMathPara>
        <m:oMath>
          <m:r>
            <w:rPr>
              <w:rFonts w:ascii="Cambria Math" w:eastAsiaTheme="minorEastAsia" w:hAnsi="Cambria Math" w:cs="Times New Roman"/>
              <w:color w:val="000000"/>
              <w:sz w:val="24"/>
              <w:szCs w:val="24"/>
            </w:rPr>
            <m:t>RMD=-</m:t>
          </m:r>
          <m:d>
            <m:dPr>
              <m:ctrlPr>
                <w:rPr>
                  <w:rFonts w:ascii="Cambria Math" w:eastAsiaTheme="minorEastAsia" w:hAnsi="Cambria Math" w:cs="Times New Roman"/>
                  <w:i/>
                  <w:color w:val="000000"/>
                  <w:sz w:val="24"/>
                  <w:szCs w:val="24"/>
                </w:rPr>
              </m:ctrlPr>
            </m:dPr>
            <m:e>
              <m:r>
                <w:rPr>
                  <w:rFonts w:ascii="Cambria Math" w:eastAsiaTheme="minorEastAsia" w:hAnsi="Cambria Math" w:cs="Times New Roman"/>
                  <w:color w:val="000000"/>
                  <w:sz w:val="24"/>
                  <w:szCs w:val="24"/>
                </w:rPr>
                <m:t>r</m:t>
              </m:r>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f</m:t>
                  </m:r>
                </m:e>
                <m:sub>
                  <m:r>
                    <w:rPr>
                      <w:rFonts w:ascii="Cambria Math" w:eastAsiaTheme="minorEastAsia" w:hAnsi="Cambria Math" w:cs="Times New Roman"/>
                      <w:color w:val="000000"/>
                      <w:sz w:val="24"/>
                      <w:szCs w:val="24"/>
                    </w:rPr>
                    <m:t>w</m:t>
                  </m:r>
                </m:sub>
              </m:sSub>
              <m:r>
                <w:rPr>
                  <w:rFonts w:ascii="Cambria Math" w:eastAsiaTheme="minorEastAsia" w:hAnsi="Cambria Math" w:cs="Times New Roman"/>
                  <w:color w:val="000000"/>
                  <w:sz w:val="24"/>
                  <w:szCs w:val="24"/>
                </w:rPr>
                <m:t>-</m:t>
              </m:r>
              <m:f>
                <m:fPr>
                  <m:ctrlPr>
                    <w:rPr>
                      <w:rFonts w:ascii="Cambria Math" w:eastAsiaTheme="minorEastAsia" w:hAnsi="Cambria Math" w:cs="Times New Roman"/>
                      <w:i/>
                      <w:color w:val="000000"/>
                      <w:sz w:val="24"/>
                      <w:szCs w:val="24"/>
                    </w:rPr>
                  </m:ctrlPr>
                </m:fPr>
                <m:num>
                  <m:sSubSup>
                    <m:sSubSupPr>
                      <m:ctrlPr>
                        <w:rPr>
                          <w:rFonts w:ascii="Cambria Math" w:eastAsiaTheme="minorEastAsia" w:hAnsi="Cambria Math" w:cs="Times New Roman"/>
                          <w:i/>
                          <w:color w:val="000000"/>
                          <w:sz w:val="24"/>
                          <w:szCs w:val="24"/>
                        </w:rPr>
                      </m:ctrlPr>
                    </m:sSubSupPr>
                    <m:e>
                      <m:r>
                        <w:rPr>
                          <w:rFonts w:ascii="Cambria Math" w:eastAsiaTheme="minorEastAsia" w:hAnsi="Cambria Math" w:cs="Times New Roman"/>
                          <w:color w:val="000000"/>
                          <w:sz w:val="24"/>
                          <w:szCs w:val="24"/>
                        </w:rPr>
                        <m:t>σ</m:t>
                      </m:r>
                    </m:e>
                    <m:sub>
                      <m:r>
                        <w:rPr>
                          <w:rFonts w:ascii="Cambria Math" w:eastAsiaTheme="minorEastAsia" w:hAnsi="Cambria Math" w:cs="Times New Roman"/>
                          <w:color w:val="000000"/>
                          <w:sz w:val="24"/>
                          <w:szCs w:val="24"/>
                        </w:rPr>
                        <m:t>w</m:t>
                      </m:r>
                    </m:sub>
                    <m:sup>
                      <m:r>
                        <w:rPr>
                          <w:rFonts w:ascii="Cambria Math" w:eastAsiaTheme="minorEastAsia" w:hAnsi="Cambria Math" w:cs="Times New Roman"/>
                          <w:color w:val="000000"/>
                          <w:sz w:val="24"/>
                          <w:szCs w:val="24"/>
                        </w:rPr>
                        <m:t>2</m:t>
                      </m:r>
                    </m:sup>
                  </m:sSubSup>
                </m:num>
                <m:den>
                  <m:r>
                    <w:rPr>
                      <w:rFonts w:ascii="Cambria Math" w:eastAsiaTheme="minorEastAsia" w:hAnsi="Cambria Math" w:cs="Times New Roman"/>
                      <w:color w:val="000000"/>
                      <w:sz w:val="24"/>
                      <w:szCs w:val="24"/>
                    </w:rPr>
                    <m:t>2</m:t>
                  </m:r>
                </m:den>
              </m:f>
            </m:e>
          </m:d>
          <m:r>
            <w:rPr>
              <w:rFonts w:ascii="Cambria Math" w:eastAsiaTheme="minorEastAsia" w:hAnsi="Cambria Math" w:cs="Times New Roman"/>
              <w:color w:val="000000"/>
              <w:sz w:val="24"/>
              <w:szCs w:val="24"/>
            </w:rPr>
            <m:t>*T+2.33*</m:t>
          </m:r>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σ</m:t>
              </m:r>
            </m:e>
            <m:sub>
              <m:r>
                <w:rPr>
                  <w:rFonts w:ascii="Cambria Math" w:eastAsiaTheme="minorEastAsia" w:hAnsi="Cambria Math" w:cs="Times New Roman"/>
                  <w:color w:val="000000"/>
                  <w:sz w:val="24"/>
                  <w:szCs w:val="24"/>
                </w:rPr>
                <m:t>w</m:t>
              </m:r>
            </m:sub>
          </m:sSub>
          <m:r>
            <w:rPr>
              <w:rFonts w:ascii="Cambria Math" w:eastAsiaTheme="minorEastAsia" w:hAnsi="Cambria Math" w:cs="Times New Roman"/>
              <w:color w:val="000000"/>
              <w:sz w:val="24"/>
              <w:szCs w:val="24"/>
            </w:rPr>
            <m:t xml:space="preserve">* </m:t>
          </m:r>
          <m:rad>
            <m:radPr>
              <m:degHide m:val="1"/>
              <m:ctrlPr>
                <w:rPr>
                  <w:rFonts w:ascii="Cambria Math" w:eastAsiaTheme="minorEastAsia" w:hAnsi="Cambria Math" w:cs="Times New Roman"/>
                  <w:i/>
                  <w:color w:val="000000"/>
                  <w:sz w:val="24"/>
                  <w:szCs w:val="24"/>
                </w:rPr>
              </m:ctrlPr>
            </m:radPr>
            <m:deg/>
            <m:e>
              <m:r>
                <w:rPr>
                  <w:rFonts w:ascii="Cambria Math" w:eastAsiaTheme="minorEastAsia" w:hAnsi="Cambria Math" w:cs="Times New Roman"/>
                  <w:color w:val="000000"/>
                  <w:sz w:val="24"/>
                  <w:szCs w:val="24"/>
                </w:rPr>
                <m:t>T</m:t>
              </m:r>
            </m:e>
          </m:rad>
        </m:oMath>
      </m:oMathPara>
    </w:p>
    <w:p w:rsidR="00B41810" w:rsidRDefault="00B41810" w:rsidP="00B41810">
      <w:pPr>
        <w:spacing w:after="0"/>
        <w:ind w:firstLine="708"/>
        <w:jc w:val="center"/>
        <w:rPr>
          <w:rFonts w:ascii="Times New Roman" w:eastAsiaTheme="minorEastAsia" w:hAnsi="Times New Roman" w:cs="Times New Roman"/>
          <w:color w:val="000000"/>
          <w:sz w:val="24"/>
          <w:szCs w:val="24"/>
        </w:rPr>
      </w:pPr>
    </w:p>
    <w:p w:rsidR="00B41810" w:rsidRDefault="00B41810" w:rsidP="00B41810">
      <w:pPr>
        <w:spacing w:after="0"/>
        <w:ind w:left="2552"/>
        <w:rPr>
          <w:rFonts w:ascii="Times New Roman" w:eastAsiaTheme="minorEastAsia" w:hAnsi="Times New Roman" w:cs="Times New Roman"/>
          <w:i/>
          <w:color w:val="000000"/>
          <w:sz w:val="24"/>
          <w:szCs w:val="24"/>
        </w:rPr>
      </w:pPr>
    </w:p>
    <w:p w:rsidR="00B41810" w:rsidRDefault="00B41810" w:rsidP="00BA4656">
      <w:pPr>
        <w:spacing w:after="0"/>
        <w:ind w:left="567"/>
        <w:jc w:val="both"/>
        <w:rPr>
          <w:rFonts w:ascii="Times New Roman" w:hAnsi="Times New Roman" w:cs="Times New Roman"/>
          <w:sz w:val="24"/>
          <w:szCs w:val="24"/>
        </w:rPr>
      </w:pPr>
      <w:r>
        <w:rPr>
          <w:rFonts w:ascii="Times New Roman" w:hAnsi="Times New Roman" w:cs="Times New Roman"/>
          <w:sz w:val="24"/>
          <w:szCs w:val="24"/>
        </w:rPr>
        <w:tab/>
        <w:t>d</w:t>
      </w:r>
      <w:r w:rsidR="00BA4656">
        <w:rPr>
          <w:rFonts w:ascii="Times New Roman" w:hAnsi="Times New Roman" w:cs="Times New Roman"/>
          <w:sz w:val="24"/>
          <w:szCs w:val="24"/>
        </w:rPr>
        <w:t>)</w:t>
      </w:r>
      <w:r>
        <w:rPr>
          <w:rFonts w:ascii="Times New Roman" w:hAnsi="Times New Roman" w:cs="Times New Roman"/>
          <w:sz w:val="24"/>
          <w:szCs w:val="24"/>
        </w:rPr>
        <w:t xml:space="preserve"> Bulunan varyans değeri aşağıdaki şekilde yıllık değere dönüştürülür. </w:t>
      </w:r>
    </w:p>
    <w:p w:rsidR="00B41810" w:rsidRPr="00906241" w:rsidRDefault="00907849" w:rsidP="00B41810">
      <w:pPr>
        <w:spacing w:after="0"/>
        <w:jc w:val="both"/>
        <w:rPr>
          <w:rFonts w:ascii="Times New Roman" w:eastAsiaTheme="minorEastAsia" w:hAnsi="Times New Roman" w:cs="Times New Roman"/>
          <w:color w:val="000000"/>
          <w:sz w:val="24"/>
          <w:szCs w:val="24"/>
        </w:rPr>
      </w:pPr>
      <m:oMathPara>
        <m:oMath>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σ</m:t>
              </m:r>
            </m:e>
            <m:sub>
              <m:r>
                <w:rPr>
                  <w:rFonts w:ascii="Cambria Math" w:eastAsiaTheme="minorEastAsia" w:hAnsi="Cambria Math" w:cs="Times New Roman"/>
                  <w:color w:val="000000"/>
                  <w:sz w:val="24"/>
                  <w:szCs w:val="24"/>
                </w:rPr>
                <m:t>A</m:t>
              </m:r>
            </m:sub>
          </m:sSub>
          <m:r>
            <w:rPr>
              <w:rFonts w:ascii="Cambria Math" w:eastAsiaTheme="minorEastAsia" w:hAnsi="Cambria Math" w:cs="Times New Roman"/>
              <w:color w:val="000000"/>
              <w:sz w:val="24"/>
              <w:szCs w:val="24"/>
            </w:rPr>
            <m:t>=</m:t>
          </m:r>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σ</m:t>
              </m:r>
            </m:e>
            <m:sub>
              <m:r>
                <w:rPr>
                  <w:rFonts w:ascii="Cambria Math" w:eastAsiaTheme="minorEastAsia" w:hAnsi="Cambria Math" w:cs="Times New Roman"/>
                  <w:color w:val="000000"/>
                  <w:sz w:val="24"/>
                  <w:szCs w:val="24"/>
                </w:rPr>
                <m:t>w</m:t>
              </m:r>
            </m:sub>
          </m:sSub>
          <m:rad>
            <m:radPr>
              <m:degHide m:val="1"/>
              <m:ctrlPr>
                <w:rPr>
                  <w:rFonts w:ascii="Cambria Math" w:eastAsiaTheme="minorEastAsia" w:hAnsi="Cambria Math" w:cs="Times New Roman"/>
                  <w:i/>
                  <w:color w:val="000000"/>
                  <w:sz w:val="24"/>
                  <w:szCs w:val="24"/>
                </w:rPr>
              </m:ctrlPr>
            </m:radPr>
            <m:deg/>
            <m:e>
              <m:r>
                <w:rPr>
                  <w:rFonts w:ascii="Cambria Math" w:eastAsiaTheme="minorEastAsia" w:hAnsi="Cambria Math" w:cs="Times New Roman"/>
                  <w:color w:val="000000"/>
                  <w:sz w:val="24"/>
                  <w:szCs w:val="24"/>
                </w:rPr>
                <m:t>52</m:t>
              </m:r>
            </m:e>
          </m:rad>
        </m:oMath>
      </m:oMathPara>
    </w:p>
    <w:p w:rsidR="009129F5" w:rsidRDefault="009129F5" w:rsidP="009129F5">
      <w:pPr>
        <w:pStyle w:val="BodyText2"/>
        <w:spacing w:after="0" w:line="240" w:lineRule="auto"/>
        <w:jc w:val="both"/>
        <w:rPr>
          <w:rFonts w:ascii="Times New Roman" w:eastAsia="Times New Roman" w:hAnsi="Times New Roman" w:cs="Times New Roman"/>
          <w:sz w:val="24"/>
          <w:szCs w:val="24"/>
          <w:lang w:eastAsia="tr-TR"/>
        </w:rPr>
      </w:pPr>
    </w:p>
    <w:p w:rsidR="00281BD1" w:rsidRDefault="00281BD1" w:rsidP="009129F5">
      <w:pPr>
        <w:pStyle w:val="BodyText2"/>
        <w:spacing w:after="0" w:line="240" w:lineRule="auto"/>
        <w:jc w:val="both"/>
        <w:rPr>
          <w:rFonts w:ascii="Times New Roman" w:eastAsia="Times New Roman" w:hAnsi="Times New Roman" w:cs="Times New Roman"/>
          <w:sz w:val="24"/>
          <w:szCs w:val="24"/>
          <w:lang w:eastAsia="tr-TR"/>
        </w:rPr>
      </w:pPr>
    </w:p>
    <w:p w:rsidR="001D2781" w:rsidRPr="00D212D9" w:rsidRDefault="001D2781" w:rsidP="009129F5">
      <w:pPr>
        <w:pStyle w:val="BodyText2"/>
        <w:spacing w:after="0" w:line="240" w:lineRule="auto"/>
        <w:jc w:val="both"/>
        <w:rPr>
          <w:rFonts w:ascii="Times New Roman" w:eastAsia="Times New Roman" w:hAnsi="Times New Roman" w:cs="Times New Roman"/>
          <w:sz w:val="24"/>
          <w:szCs w:val="24"/>
          <w:lang w:eastAsia="tr-TR"/>
        </w:rPr>
      </w:pPr>
    </w:p>
    <w:p w:rsidR="0008785A" w:rsidRDefault="0008785A" w:rsidP="0008785A">
      <w:pPr>
        <w:pStyle w:val="Heading2"/>
        <w:jc w:val="both"/>
      </w:pPr>
      <w:bookmarkStart w:id="292" w:name="_Toc130312627"/>
      <w:bookmarkStart w:id="293" w:name="_Toc130312760"/>
      <w:r>
        <w:t>9.4</w:t>
      </w:r>
      <w:r w:rsidRPr="00BD2ED0">
        <w:t xml:space="preserve">. </w:t>
      </w:r>
      <w:r w:rsidRPr="0050208E">
        <w:t>Garantili</w:t>
      </w:r>
      <w:r>
        <w:t xml:space="preserve"> ve </w:t>
      </w:r>
      <w:r w:rsidRPr="0050208E">
        <w:t>Koruma Amaçlı Fonların</w:t>
      </w:r>
      <w:r>
        <w:t xml:space="preserve"> Portföy Bilgilerine İlişkin Açıklama</w:t>
      </w:r>
      <w:bookmarkEnd w:id="292"/>
      <w:bookmarkEnd w:id="293"/>
    </w:p>
    <w:p w:rsidR="0008785A" w:rsidRPr="00686430" w:rsidRDefault="0008785A" w:rsidP="0008785A"/>
    <w:p w:rsidR="0008785A" w:rsidRDefault="0008785A" w:rsidP="0008785A">
      <w:pPr>
        <w:pStyle w:val="BodyText2"/>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Garantili ve koruma amaçlı</w:t>
      </w:r>
      <w:r w:rsidRPr="00D212D9">
        <w:rPr>
          <w:rFonts w:ascii="Times New Roman" w:eastAsia="Times New Roman" w:hAnsi="Times New Roman" w:cs="Times New Roman"/>
          <w:sz w:val="24"/>
          <w:szCs w:val="24"/>
          <w:lang w:eastAsia="tr-TR"/>
        </w:rPr>
        <w:t xml:space="preserve"> fonların kesinleşen portföy dağılımları, yönetim ücreti oranları, katılım oranları, opsiyon s</w:t>
      </w:r>
      <w:r>
        <w:rPr>
          <w:rFonts w:ascii="Times New Roman" w:eastAsia="Times New Roman" w:hAnsi="Times New Roman" w:cs="Times New Roman"/>
          <w:sz w:val="24"/>
          <w:szCs w:val="24"/>
          <w:lang w:eastAsia="tr-TR"/>
        </w:rPr>
        <w:t xml:space="preserve">özleşmesinin karşı tarafı, </w:t>
      </w:r>
      <w:r w:rsidRPr="00D212D9">
        <w:rPr>
          <w:rFonts w:ascii="Times New Roman" w:eastAsia="Times New Roman" w:hAnsi="Times New Roman" w:cs="Times New Roman"/>
          <w:sz w:val="24"/>
          <w:szCs w:val="24"/>
          <w:lang w:eastAsia="tr-TR"/>
        </w:rPr>
        <w:t>dayanak varlı</w:t>
      </w:r>
      <w:r>
        <w:rPr>
          <w:rFonts w:ascii="Times New Roman" w:eastAsia="Times New Roman" w:hAnsi="Times New Roman" w:cs="Times New Roman"/>
          <w:sz w:val="24"/>
          <w:szCs w:val="24"/>
          <w:lang w:eastAsia="tr-TR"/>
        </w:rPr>
        <w:t xml:space="preserve">ğın </w:t>
      </w:r>
      <w:r w:rsidRPr="00D212D9">
        <w:rPr>
          <w:rFonts w:ascii="Times New Roman" w:eastAsia="Times New Roman" w:hAnsi="Times New Roman" w:cs="Times New Roman"/>
          <w:sz w:val="24"/>
          <w:szCs w:val="24"/>
          <w:lang w:eastAsia="tr-TR"/>
        </w:rPr>
        <w:t xml:space="preserve">başlangıç değeri </w:t>
      </w:r>
      <w:r>
        <w:rPr>
          <w:rFonts w:ascii="Times New Roman" w:eastAsia="Times New Roman" w:hAnsi="Times New Roman" w:cs="Times New Roman"/>
          <w:sz w:val="24"/>
          <w:szCs w:val="24"/>
          <w:lang w:eastAsia="tr-TR"/>
        </w:rPr>
        <w:t xml:space="preserve">ve varsa, </w:t>
      </w:r>
      <w:r w:rsidRPr="00D212D9">
        <w:rPr>
          <w:rFonts w:ascii="Times New Roman" w:eastAsia="Times New Roman" w:hAnsi="Times New Roman" w:cs="Times New Roman"/>
          <w:sz w:val="24"/>
          <w:szCs w:val="24"/>
          <w:lang w:eastAsia="tr-TR"/>
        </w:rPr>
        <w:t>bariy</w:t>
      </w:r>
      <w:r>
        <w:rPr>
          <w:rFonts w:ascii="Times New Roman" w:eastAsia="Times New Roman" w:hAnsi="Times New Roman" w:cs="Times New Roman"/>
          <w:sz w:val="24"/>
          <w:szCs w:val="24"/>
          <w:lang w:eastAsia="tr-TR"/>
        </w:rPr>
        <w:t>er seviyesi, sabit getiri oranı gibi opsiyona ve fon portföyüne ilişkin önemli bilgiler</w:t>
      </w:r>
      <w:r w:rsidRPr="00D212D9">
        <w:rPr>
          <w:rFonts w:ascii="Times New Roman" w:eastAsia="Times New Roman" w:hAnsi="Times New Roman" w:cs="Times New Roman"/>
          <w:sz w:val="24"/>
          <w:szCs w:val="24"/>
          <w:lang w:eastAsia="tr-TR"/>
        </w:rPr>
        <w:t xml:space="preserve"> en geç</w:t>
      </w:r>
      <w:r>
        <w:rPr>
          <w:rFonts w:ascii="Times New Roman" w:eastAsia="Times New Roman" w:hAnsi="Times New Roman" w:cs="Times New Roman"/>
          <w:sz w:val="24"/>
          <w:szCs w:val="24"/>
          <w:lang w:eastAsia="tr-TR"/>
        </w:rPr>
        <w:t xml:space="preserve"> fonun</w:t>
      </w:r>
      <w:r w:rsidRPr="00D212D9">
        <w:rPr>
          <w:rFonts w:ascii="Times New Roman" w:eastAsia="Times New Roman" w:hAnsi="Times New Roman" w:cs="Times New Roman"/>
          <w:sz w:val="24"/>
          <w:szCs w:val="24"/>
          <w:lang w:eastAsia="tr-TR"/>
        </w:rPr>
        <w:t xml:space="preserve"> yatırım döneminin başlangıç tarihini takip eden 2 iş</w:t>
      </w:r>
      <w:r w:rsidR="00280CD8">
        <w:rPr>
          <w:rFonts w:ascii="Times New Roman" w:eastAsia="Times New Roman" w:hAnsi="Times New Roman" w:cs="Times New Roman"/>
          <w:sz w:val="24"/>
          <w:szCs w:val="24"/>
          <w:lang w:eastAsia="tr-TR"/>
        </w:rPr>
        <w:t xml:space="preserve"> </w:t>
      </w:r>
      <w:r w:rsidRPr="00D212D9">
        <w:rPr>
          <w:rFonts w:ascii="Times New Roman" w:eastAsia="Times New Roman" w:hAnsi="Times New Roman" w:cs="Times New Roman"/>
          <w:sz w:val="24"/>
          <w:szCs w:val="24"/>
          <w:lang w:eastAsia="tr-TR"/>
        </w:rPr>
        <w:t xml:space="preserve">günü </w:t>
      </w:r>
      <w:r>
        <w:rPr>
          <w:rFonts w:ascii="Times New Roman" w:eastAsia="Times New Roman" w:hAnsi="Times New Roman" w:cs="Times New Roman"/>
          <w:sz w:val="24"/>
          <w:szCs w:val="24"/>
          <w:lang w:eastAsia="tr-TR"/>
        </w:rPr>
        <w:t>içerisinde KAP’ta ilan edilir ve opsiyon sözleşmesinin karşı tarafı ayrıca fonun KAP’ta yer alan sürekli bilgilendirme formunda açıklanır.</w:t>
      </w:r>
    </w:p>
    <w:p w:rsidR="00523726" w:rsidRDefault="00523726" w:rsidP="0008785A">
      <w:pPr>
        <w:pStyle w:val="BodyText2"/>
        <w:spacing w:after="0" w:line="240" w:lineRule="auto"/>
        <w:ind w:firstLine="708"/>
        <w:jc w:val="both"/>
        <w:rPr>
          <w:rFonts w:ascii="Times New Roman" w:eastAsia="Times New Roman" w:hAnsi="Times New Roman" w:cs="Times New Roman"/>
          <w:sz w:val="24"/>
          <w:szCs w:val="24"/>
          <w:lang w:eastAsia="tr-TR"/>
        </w:rPr>
      </w:pPr>
    </w:p>
    <w:p w:rsidR="00F45F13" w:rsidRPr="00523726" w:rsidRDefault="00523726" w:rsidP="00F45F13">
      <w:pPr>
        <w:pStyle w:val="Heading2"/>
        <w:jc w:val="both"/>
      </w:pPr>
      <w:bookmarkStart w:id="294" w:name="_Toc130312628"/>
      <w:bookmarkStart w:id="295" w:name="_Toc130312761"/>
      <w:r w:rsidRPr="00523726">
        <w:t xml:space="preserve">9.5. </w:t>
      </w:r>
      <w:r w:rsidR="00532E19">
        <w:t>(Ek: 19.02.2015 tarih v</w:t>
      </w:r>
      <w:r w:rsidR="005D587C">
        <w:t>e 4/206 sayılı Kurul Kararı ile</w:t>
      </w:r>
      <w:r w:rsidR="00532E19">
        <w:t xml:space="preserve">) </w:t>
      </w:r>
      <w:r w:rsidR="00F45F13">
        <w:t xml:space="preserve">(Değişiklik: 05.12.2019 tarih ve 70/1567 sayılı Kurul Kararı ile) </w:t>
      </w:r>
      <w:r w:rsidR="00F45F13" w:rsidRPr="003B7A8A">
        <w:rPr>
          <w:bCs/>
          <w:iCs/>
        </w:rPr>
        <w:t>Serbest Fonların Kamuyu Aydınlatma Esasları</w:t>
      </w:r>
      <w:bookmarkEnd w:id="294"/>
      <w:bookmarkEnd w:id="295"/>
      <w:r w:rsidR="00F45F13" w:rsidRPr="003B7A8A" w:rsidDel="003B7A8A">
        <w:t xml:space="preserve"> </w:t>
      </w:r>
    </w:p>
    <w:p w:rsidR="00F45F13" w:rsidRDefault="00F45F13" w:rsidP="00F45F13">
      <w:pPr>
        <w:pStyle w:val="BodyText2"/>
        <w:spacing w:after="0" w:line="240" w:lineRule="auto"/>
        <w:ind w:firstLine="708"/>
        <w:jc w:val="both"/>
        <w:rPr>
          <w:rFonts w:ascii="Times New Roman" w:eastAsia="Times New Roman" w:hAnsi="Times New Roman" w:cs="Times New Roman"/>
          <w:sz w:val="24"/>
          <w:szCs w:val="24"/>
          <w:lang w:eastAsia="tr-TR"/>
        </w:rPr>
      </w:pPr>
    </w:p>
    <w:p w:rsidR="00F45F13" w:rsidRPr="003B7A8A" w:rsidRDefault="00F45F13" w:rsidP="00F45F13">
      <w:pPr>
        <w:pStyle w:val="BodyText2"/>
        <w:spacing w:line="240" w:lineRule="auto"/>
        <w:ind w:firstLine="708"/>
        <w:jc w:val="both"/>
        <w:rPr>
          <w:rFonts w:ascii="Times New Roman" w:eastAsia="Times New Roman" w:hAnsi="Times New Roman" w:cs="Times New Roman"/>
          <w:iCs/>
          <w:sz w:val="24"/>
          <w:szCs w:val="24"/>
          <w:lang w:eastAsia="tr-TR"/>
        </w:rPr>
      </w:pPr>
      <w:r w:rsidRPr="003B7A8A">
        <w:rPr>
          <w:rFonts w:ascii="Times New Roman" w:eastAsia="Times New Roman" w:hAnsi="Times New Roman" w:cs="Times New Roman"/>
          <w:iCs/>
          <w:sz w:val="24"/>
          <w:szCs w:val="24"/>
          <w:lang w:eastAsia="tr-TR"/>
        </w:rPr>
        <w:t>Serbest şemsiye fona bağlı olarak ihraç edilecek fonların yatırımcı bilgi formu düzenlemesi ihtiyaridir. Ancak, katılma payları TEFAS’ta işlem görecek serbest fonların izahnamesinde bu yönde hüküm bulunması ve bu fonlar için Fon Tebliği’nin 12. maddesine uygun olacak şekilde yatırımcı bilgi formu düzenlenerek KAP’ta ilan edilmesi zorunludur. Ayrıca, TEFAS’ta işlem gören serbest fonlar tarafından aylık dönemler itibariyle portföy dağılım raporu düzenlenir ve ilgili ayı takip eden altı iş günü içinde KAP’ta ilan edilir.</w:t>
      </w:r>
    </w:p>
    <w:p w:rsidR="00F45F13" w:rsidRPr="003B7A8A" w:rsidRDefault="00F45F13" w:rsidP="00F45F13">
      <w:pPr>
        <w:pStyle w:val="BodyText2"/>
        <w:spacing w:line="240" w:lineRule="auto"/>
        <w:ind w:firstLine="708"/>
        <w:jc w:val="both"/>
        <w:rPr>
          <w:rFonts w:ascii="Times New Roman" w:eastAsia="Times New Roman" w:hAnsi="Times New Roman" w:cs="Times New Roman"/>
          <w:iCs/>
          <w:sz w:val="24"/>
          <w:szCs w:val="24"/>
          <w:lang w:eastAsia="tr-TR"/>
        </w:rPr>
      </w:pPr>
      <w:r w:rsidRPr="003B7A8A">
        <w:rPr>
          <w:rFonts w:ascii="Times New Roman" w:eastAsia="Times New Roman" w:hAnsi="Times New Roman" w:cs="Times New Roman"/>
          <w:iCs/>
          <w:sz w:val="24"/>
          <w:szCs w:val="24"/>
          <w:lang w:eastAsia="tr-TR"/>
        </w:rPr>
        <w:t>TEFAS’ta işlem gören serbest fonların Fon Tebliği’nin 13. maddesinin ikinci fıkrası kapsamında yapılacak içtüzük ve izahname değişikliklerinin yürürlüğe giriş tarihinden en az 30 gün önce KAP’ta ilan edilmesi zorunludur. Bununla birlikte, Kurucu tarafından Fon Tebliği’nin 25. maddesinin yedinci fıkrası kapsamında maruz kalınan risklere ilişkin limit aşımlarına yönelik bilgilendirmeler fon kurucusunun konuya ilişkin alınan yönetim kurulu kararı tarihinde KAP’ta açıklanır.</w:t>
      </w:r>
    </w:p>
    <w:p w:rsidR="00F45F13" w:rsidRPr="003B7A8A" w:rsidRDefault="00F45F13" w:rsidP="00F45F13">
      <w:pPr>
        <w:pStyle w:val="BodyText2"/>
        <w:spacing w:after="0" w:line="240" w:lineRule="auto"/>
        <w:ind w:firstLine="708"/>
        <w:jc w:val="both"/>
        <w:rPr>
          <w:rFonts w:ascii="Times New Roman" w:eastAsia="Times New Roman" w:hAnsi="Times New Roman" w:cs="Times New Roman"/>
          <w:iCs/>
          <w:sz w:val="24"/>
          <w:szCs w:val="24"/>
          <w:lang w:eastAsia="tr-TR"/>
        </w:rPr>
      </w:pPr>
      <w:r w:rsidRPr="003B7A8A">
        <w:rPr>
          <w:rFonts w:ascii="Times New Roman" w:eastAsia="Times New Roman" w:hAnsi="Times New Roman" w:cs="Times New Roman"/>
          <w:iCs/>
          <w:sz w:val="24"/>
          <w:szCs w:val="24"/>
          <w:lang w:eastAsia="tr-TR"/>
        </w:rPr>
        <w:t>TEFAS’ta işlem gören serbest fonlara yönelik Rehber’in 6.5. nolu maddesi kapsamında yapılacak promosyonlarda Kurulca onaylı duyuru metninin promosyona başlanmadan önce KAP’ta ilan edilmesi zorunludur.</w:t>
      </w:r>
    </w:p>
    <w:p w:rsidR="00F137D0" w:rsidRDefault="00F137D0" w:rsidP="00F45F13">
      <w:pPr>
        <w:pStyle w:val="Heading2"/>
        <w:jc w:val="both"/>
        <w:rPr>
          <w:rFonts w:eastAsia="Times New Roman" w:cs="Times New Roman"/>
          <w:szCs w:val="24"/>
          <w:lang w:eastAsia="tr-TR"/>
        </w:rPr>
      </w:pPr>
    </w:p>
    <w:p w:rsidR="00F137D0" w:rsidRDefault="00F137D0" w:rsidP="00F137D0">
      <w:pPr>
        <w:pStyle w:val="Heading2"/>
        <w:jc w:val="both"/>
      </w:pPr>
      <w:bookmarkStart w:id="296" w:name="_Toc130312629"/>
      <w:bookmarkStart w:id="297" w:name="_Toc130312762"/>
      <w:r>
        <w:t>9.6</w:t>
      </w:r>
      <w:r w:rsidRPr="00523726">
        <w:t xml:space="preserve">. </w:t>
      </w:r>
      <w:r>
        <w:t>(Ek: 20.06.2018 tarih ve 26/740 sayılı Kurul Kararı ile) Performans Sunum Raporlarında Kullanılacak Pay Endekslerine İlişkin Esaslar</w:t>
      </w:r>
      <w:bookmarkEnd w:id="296"/>
      <w:bookmarkEnd w:id="297"/>
      <w:r>
        <w:t xml:space="preserve"> </w:t>
      </w:r>
    </w:p>
    <w:p w:rsidR="00F137D0" w:rsidRDefault="00F137D0" w:rsidP="00F137D0"/>
    <w:p w:rsidR="00F137D0" w:rsidRDefault="00F137D0" w:rsidP="00F137D0">
      <w:pPr>
        <w:ind w:firstLine="709"/>
        <w:jc w:val="both"/>
        <w:rPr>
          <w:rFonts w:ascii="Times New Roman" w:hAnsi="Times New Roman" w:cs="Times New Roman"/>
          <w:sz w:val="24"/>
          <w:szCs w:val="24"/>
        </w:rPr>
      </w:pPr>
      <w:r w:rsidRPr="00F137D0">
        <w:rPr>
          <w:rFonts w:ascii="Times New Roman" w:hAnsi="Times New Roman" w:cs="Times New Roman"/>
          <w:sz w:val="24"/>
          <w:szCs w:val="24"/>
        </w:rPr>
        <w:t>Fon izahnamesinde belirlenen karşılaştırma ölçütü/eşik değerin unsurları arasında pay endeksi yer alan yatırım fonları tarafından karşılaştırma ölçütü/eşik değer getirisinin hesaplanmasında “pay fiyat endeksleri” değil, “pay getiri endeksleri” kullanılır. Bu kapsamda, 01.01-30.06.2018 dönemine ilişkin olarak yapılacak performans sunumlarından başlamak ve takip eden sunum dönemlerinde de uygulanmak üzere performans sunum raporları “pay getiri endeksleri” esas alınarak hazırlanır.</w:t>
      </w:r>
    </w:p>
    <w:p w:rsidR="00A14D14" w:rsidRDefault="00A14D14" w:rsidP="00F137D0">
      <w:pPr>
        <w:ind w:firstLine="709"/>
        <w:jc w:val="both"/>
        <w:rPr>
          <w:rFonts w:ascii="Times New Roman" w:hAnsi="Times New Roman" w:cs="Times New Roman"/>
          <w:sz w:val="24"/>
          <w:szCs w:val="24"/>
        </w:rPr>
      </w:pPr>
    </w:p>
    <w:p w:rsidR="00A14D14" w:rsidRDefault="004552FF" w:rsidP="00A14D14">
      <w:pPr>
        <w:pStyle w:val="Heading2"/>
        <w:jc w:val="both"/>
      </w:pPr>
      <w:bookmarkStart w:id="298" w:name="_Toc130312630"/>
      <w:bookmarkStart w:id="299" w:name="_Toc130312763"/>
      <w:r>
        <w:t>9.7</w:t>
      </w:r>
      <w:r w:rsidR="00A14D14" w:rsidRPr="00523726">
        <w:t xml:space="preserve">. </w:t>
      </w:r>
      <w:r>
        <w:t>(Ek: 14.10.2021 tarih ve 53/1512</w:t>
      </w:r>
      <w:r w:rsidR="00A14D14">
        <w:t xml:space="preserve"> sayılı Kurul Kararı ile) </w:t>
      </w:r>
      <w:r>
        <w:t>Performans Sunuş Raporlarının İlan Edilmesine İlişkin Esaslar</w:t>
      </w:r>
      <w:bookmarkEnd w:id="298"/>
      <w:bookmarkEnd w:id="299"/>
    </w:p>
    <w:p w:rsidR="004552FF" w:rsidRDefault="004552FF" w:rsidP="004552FF"/>
    <w:p w:rsidR="00F137D0" w:rsidRPr="00F137D0" w:rsidRDefault="004552FF" w:rsidP="004552FF">
      <w:pPr>
        <w:ind w:firstLine="708"/>
        <w:jc w:val="both"/>
        <w:rPr>
          <w:rFonts w:ascii="Times New Roman" w:hAnsi="Times New Roman" w:cs="Times New Roman"/>
          <w:sz w:val="24"/>
          <w:szCs w:val="24"/>
        </w:rPr>
      </w:pPr>
      <w:r w:rsidRPr="004552FF">
        <w:rPr>
          <w:rFonts w:ascii="Times New Roman" w:hAnsi="Times New Roman" w:cs="Times New Roman"/>
          <w:sz w:val="24"/>
          <w:szCs w:val="24"/>
        </w:rPr>
        <w:t>Yatırım fonlarının KAP sayfalarında ve kurucunun internet sitesinde bağımsız denetimden geçirilmiş performans sunuş raporlarının yayımlanması Performans Tebliği’nin 12. maddesinin dördüncü fıkrası kapsamında yeterli kabul edilir</w:t>
      </w:r>
      <w:r>
        <w:rPr>
          <w:rFonts w:ascii="Times New Roman" w:hAnsi="Times New Roman" w:cs="Times New Roman"/>
          <w:sz w:val="24"/>
          <w:szCs w:val="24"/>
        </w:rPr>
        <w:t>.</w:t>
      </w:r>
    </w:p>
    <w:p w:rsidR="00241AD2" w:rsidRDefault="00F56A50" w:rsidP="00CE5BAA">
      <w:pPr>
        <w:pStyle w:val="Heading1"/>
      </w:pPr>
      <w:bookmarkStart w:id="300" w:name="_Toc130312631"/>
      <w:bookmarkStart w:id="301" w:name="_Toc130312764"/>
      <w:r>
        <w:t>1</w:t>
      </w:r>
      <w:r w:rsidR="000C6C1D">
        <w:t>0</w:t>
      </w:r>
      <w:r w:rsidR="00241AD2" w:rsidRPr="009D534F">
        <w:t xml:space="preserve">. </w:t>
      </w:r>
      <w:r w:rsidR="001908E2" w:rsidRPr="005D5277">
        <w:t>Kurul Ücreti</w:t>
      </w:r>
      <w:bookmarkEnd w:id="300"/>
      <w:bookmarkEnd w:id="301"/>
    </w:p>
    <w:p w:rsidR="00686430" w:rsidRPr="00686430" w:rsidRDefault="00686430" w:rsidP="00686430"/>
    <w:p w:rsidR="00241AD2" w:rsidRPr="0051763D" w:rsidRDefault="00241AD2" w:rsidP="00686430">
      <w:pPr>
        <w:spacing w:after="240" w:line="240" w:lineRule="auto"/>
        <w:ind w:right="-141" w:firstLine="708"/>
        <w:jc w:val="both"/>
        <w:rPr>
          <w:rFonts w:ascii="Times New Roman" w:eastAsia="Times New Roman" w:hAnsi="Times New Roman" w:cs="Times New Roman"/>
          <w:bCs/>
          <w:sz w:val="24"/>
          <w:szCs w:val="24"/>
          <w:lang w:eastAsia="tr-TR"/>
        </w:rPr>
      </w:pPr>
      <w:r w:rsidRPr="0051763D">
        <w:rPr>
          <w:rFonts w:ascii="Times New Roman" w:eastAsia="Times New Roman" w:hAnsi="Times New Roman" w:cs="Times New Roman"/>
          <w:bCs/>
          <w:sz w:val="24"/>
          <w:szCs w:val="24"/>
          <w:lang w:eastAsia="tr-TR"/>
        </w:rPr>
        <w:t>Kurul ücreti aşağıda yer alan tabloda gösterildiği şekilde hesaplanır</w:t>
      </w:r>
      <w:r w:rsidR="00580AF4">
        <w:rPr>
          <w:rFonts w:ascii="Times New Roman" w:eastAsia="Times New Roman" w:hAnsi="Times New Roman" w:cs="Times New Roman"/>
          <w:bCs/>
          <w:sz w:val="24"/>
          <w:szCs w:val="24"/>
          <w:lang w:eastAsia="tr-TR"/>
        </w:rPr>
        <w:t>:</w:t>
      </w:r>
    </w:p>
    <w:p w:rsidR="003B5A19" w:rsidRDefault="003B5A19" w:rsidP="0006161B">
      <w:pPr>
        <w:pStyle w:val="ListParagraph"/>
        <w:numPr>
          <w:ilvl w:val="0"/>
          <w:numId w:val="9"/>
        </w:numPr>
        <w:spacing w:after="240" w:line="240" w:lineRule="auto"/>
        <w:ind w:left="993"/>
        <w:jc w:val="both"/>
        <w:rPr>
          <w:rFonts w:ascii="Times New Roman" w:hAnsi="Times New Roman" w:cs="Times New Roman"/>
          <w:sz w:val="24"/>
          <w:szCs w:val="24"/>
        </w:rPr>
      </w:pPr>
      <w:r w:rsidRPr="009D534F">
        <w:rPr>
          <w:rFonts w:ascii="Times New Roman" w:hAnsi="Times New Roman" w:cs="Times New Roman"/>
          <w:sz w:val="24"/>
          <w:szCs w:val="24"/>
        </w:rPr>
        <w:t>Kurul ücreti,  takvim yılı esas alınarak üçer aylık dönemleri</w:t>
      </w:r>
      <w:r w:rsidR="0082765F">
        <w:rPr>
          <w:rFonts w:ascii="Times New Roman" w:hAnsi="Times New Roman" w:cs="Times New Roman"/>
          <w:sz w:val="24"/>
          <w:szCs w:val="24"/>
        </w:rPr>
        <w:t>n</w:t>
      </w:r>
      <w:r w:rsidRPr="009D534F">
        <w:rPr>
          <w:rFonts w:ascii="Times New Roman" w:hAnsi="Times New Roman" w:cs="Times New Roman"/>
          <w:sz w:val="24"/>
          <w:szCs w:val="24"/>
        </w:rPr>
        <w:t xml:space="preserve"> son işgününde fon toplam değeri üzerinden ödenir.</w:t>
      </w:r>
    </w:p>
    <w:p w:rsidR="00281BD1" w:rsidRPr="009D534F" w:rsidRDefault="00281BD1" w:rsidP="00281BD1">
      <w:pPr>
        <w:pStyle w:val="ListParagraph"/>
        <w:spacing w:after="240" w:line="240" w:lineRule="auto"/>
        <w:ind w:left="993"/>
        <w:jc w:val="both"/>
        <w:rPr>
          <w:rFonts w:ascii="Times New Roman" w:hAnsi="Times New Roman" w:cs="Times New Roman"/>
          <w:sz w:val="24"/>
          <w:szCs w:val="24"/>
        </w:rPr>
      </w:pPr>
    </w:p>
    <w:p w:rsidR="00771640" w:rsidRDefault="003B5A19" w:rsidP="0006161B">
      <w:pPr>
        <w:pStyle w:val="ListParagraph"/>
        <w:numPr>
          <w:ilvl w:val="0"/>
          <w:numId w:val="9"/>
        </w:numPr>
        <w:spacing w:after="240" w:line="240" w:lineRule="auto"/>
        <w:ind w:left="993"/>
        <w:jc w:val="both"/>
        <w:rPr>
          <w:rFonts w:ascii="Times New Roman" w:hAnsi="Times New Roman" w:cs="Times New Roman"/>
          <w:sz w:val="24"/>
          <w:szCs w:val="24"/>
        </w:rPr>
      </w:pPr>
      <w:r>
        <w:rPr>
          <w:rFonts w:ascii="Times New Roman" w:hAnsi="Times New Roman" w:cs="Times New Roman"/>
          <w:sz w:val="24"/>
          <w:szCs w:val="24"/>
        </w:rPr>
        <w:t>Fonlardan</w:t>
      </w:r>
      <w:r w:rsidR="00771640" w:rsidRPr="000100CE">
        <w:rPr>
          <w:rFonts w:ascii="Times New Roman" w:hAnsi="Times New Roman" w:cs="Times New Roman"/>
          <w:sz w:val="24"/>
          <w:szCs w:val="24"/>
        </w:rPr>
        <w:t xml:space="preserve"> başvuru bazında (katılma paylarının ihracına ilişkin izahname onayı, birleşme, dönüşüm, kurucu değişikliği v.b.)</w:t>
      </w:r>
      <w:r w:rsidR="00771640" w:rsidRPr="000100CE">
        <w:rPr>
          <w:rStyle w:val="apple-converted-space"/>
          <w:rFonts w:ascii="Times New Roman" w:hAnsi="Times New Roman" w:cs="Times New Roman"/>
          <w:sz w:val="24"/>
          <w:szCs w:val="24"/>
        </w:rPr>
        <w:t> </w:t>
      </w:r>
      <w:r w:rsidR="00771640" w:rsidRPr="000100CE">
        <w:rPr>
          <w:rFonts w:ascii="Times New Roman" w:hAnsi="Times New Roman" w:cs="Times New Roman"/>
          <w:sz w:val="24"/>
          <w:szCs w:val="24"/>
          <w:u w:val="single"/>
        </w:rPr>
        <w:t>herhangi bir Kurul ücreti</w:t>
      </w:r>
      <w:r w:rsidR="00771640" w:rsidRPr="000100CE">
        <w:rPr>
          <w:rStyle w:val="apple-converted-space"/>
          <w:rFonts w:ascii="Times New Roman" w:hAnsi="Times New Roman" w:cs="Times New Roman"/>
          <w:sz w:val="24"/>
          <w:szCs w:val="24"/>
        </w:rPr>
        <w:t> </w:t>
      </w:r>
      <w:r w:rsidR="00771640" w:rsidRPr="000100CE">
        <w:rPr>
          <w:rFonts w:ascii="Times New Roman" w:hAnsi="Times New Roman" w:cs="Times New Roman"/>
          <w:sz w:val="24"/>
          <w:szCs w:val="24"/>
        </w:rPr>
        <w:t xml:space="preserve">alınmaz. </w:t>
      </w:r>
    </w:p>
    <w:p w:rsidR="00281BD1" w:rsidRPr="000100CE" w:rsidRDefault="00281BD1" w:rsidP="00281BD1">
      <w:pPr>
        <w:pStyle w:val="ListParagraph"/>
        <w:spacing w:after="240" w:line="240" w:lineRule="auto"/>
        <w:ind w:left="993"/>
        <w:jc w:val="both"/>
        <w:rPr>
          <w:rFonts w:ascii="Times New Roman" w:hAnsi="Times New Roman" w:cs="Times New Roman"/>
          <w:sz w:val="24"/>
          <w:szCs w:val="24"/>
        </w:rPr>
      </w:pPr>
    </w:p>
    <w:p w:rsidR="00771640" w:rsidRDefault="00771640" w:rsidP="0006161B">
      <w:pPr>
        <w:pStyle w:val="ListParagraph"/>
        <w:numPr>
          <w:ilvl w:val="0"/>
          <w:numId w:val="9"/>
        </w:numPr>
        <w:spacing w:after="240" w:line="240" w:lineRule="auto"/>
        <w:ind w:left="993"/>
        <w:jc w:val="both"/>
        <w:rPr>
          <w:rFonts w:ascii="Times New Roman" w:hAnsi="Times New Roman" w:cs="Times New Roman"/>
          <w:sz w:val="24"/>
          <w:szCs w:val="24"/>
        </w:rPr>
      </w:pPr>
      <w:r w:rsidRPr="000100CE">
        <w:rPr>
          <w:rFonts w:ascii="Times New Roman" w:hAnsi="Times New Roman" w:cs="Times New Roman"/>
          <w:sz w:val="24"/>
          <w:szCs w:val="24"/>
        </w:rPr>
        <w:t>Kurul ücreti ilgili dönemin</w:t>
      </w:r>
      <w:r w:rsidRPr="009D534F">
        <w:t> </w:t>
      </w:r>
      <w:r w:rsidRPr="009D534F">
        <w:rPr>
          <w:rFonts w:ascii="Times New Roman" w:hAnsi="Times New Roman" w:cs="Times New Roman"/>
          <w:sz w:val="24"/>
          <w:szCs w:val="24"/>
        </w:rPr>
        <w:t>son iş gününde</w:t>
      </w:r>
      <w:r w:rsidRPr="009D534F">
        <w:t> </w:t>
      </w:r>
      <w:r w:rsidRPr="000100CE">
        <w:rPr>
          <w:rFonts w:ascii="Times New Roman" w:hAnsi="Times New Roman" w:cs="Times New Roman"/>
          <w:sz w:val="24"/>
          <w:szCs w:val="24"/>
        </w:rPr>
        <w:t xml:space="preserve">fon toplam değerinin (5/100.000) oranında </w:t>
      </w:r>
      <w:r w:rsidR="00600097">
        <w:rPr>
          <w:rFonts w:ascii="Times New Roman" w:hAnsi="Times New Roman" w:cs="Times New Roman"/>
          <w:sz w:val="24"/>
          <w:szCs w:val="24"/>
        </w:rPr>
        <w:t>aşağıda</w:t>
      </w:r>
      <w:r w:rsidR="00280CD8">
        <w:rPr>
          <w:rFonts w:ascii="Times New Roman" w:hAnsi="Times New Roman" w:cs="Times New Roman"/>
          <w:sz w:val="24"/>
          <w:szCs w:val="24"/>
        </w:rPr>
        <w:t xml:space="preserve"> </w:t>
      </w:r>
      <w:r w:rsidRPr="000100CE">
        <w:rPr>
          <w:rFonts w:ascii="Times New Roman" w:hAnsi="Times New Roman" w:cs="Times New Roman"/>
          <w:sz w:val="24"/>
          <w:szCs w:val="24"/>
        </w:rPr>
        <w:t xml:space="preserve">yer alan örneğe göre hesaplanır ve fon kayıtlarında </w:t>
      </w:r>
      <w:r w:rsidR="00A73FFE">
        <w:rPr>
          <w:rFonts w:ascii="Times New Roman" w:hAnsi="Times New Roman" w:cs="Times New Roman"/>
          <w:sz w:val="24"/>
          <w:szCs w:val="24"/>
        </w:rPr>
        <w:t xml:space="preserve">tahakkuk ettiği dönem </w:t>
      </w:r>
      <w:r w:rsidR="00A73FFE" w:rsidRPr="00281BD1">
        <w:rPr>
          <w:rFonts w:ascii="Times New Roman" w:hAnsi="Times New Roman" w:cs="Times New Roman"/>
          <w:sz w:val="24"/>
          <w:szCs w:val="24"/>
        </w:rPr>
        <w:t xml:space="preserve">içerisinde </w:t>
      </w:r>
      <w:r w:rsidRPr="00281BD1">
        <w:rPr>
          <w:rFonts w:ascii="Times New Roman" w:hAnsi="Times New Roman" w:cs="Times New Roman"/>
          <w:sz w:val="24"/>
          <w:szCs w:val="24"/>
        </w:rPr>
        <w:t>giderleştirilir. Fonun ilgili hesaplama dönemi içerisinde katılma paylarını halka arz etmesi</w:t>
      </w:r>
      <w:r w:rsidR="00281BD1" w:rsidRPr="00281BD1">
        <w:rPr>
          <w:rFonts w:ascii="Times New Roman" w:hAnsi="Times New Roman" w:cs="Times New Roman"/>
          <w:sz w:val="24"/>
          <w:szCs w:val="24"/>
        </w:rPr>
        <w:t>/belirli kişi ve/veya kuruluşlara tahsisli ya da nitelikli yatırımcılara satılması</w:t>
      </w:r>
      <w:r w:rsidRPr="00281BD1">
        <w:rPr>
          <w:rFonts w:ascii="Times New Roman" w:hAnsi="Times New Roman" w:cs="Times New Roman"/>
          <w:sz w:val="24"/>
          <w:szCs w:val="24"/>
        </w:rPr>
        <w:t xml:space="preserve"> veya tasfiye</w:t>
      </w:r>
      <w:r w:rsidRPr="000100CE">
        <w:rPr>
          <w:rFonts w:ascii="Times New Roman" w:hAnsi="Times New Roman" w:cs="Times New Roman"/>
          <w:sz w:val="24"/>
          <w:szCs w:val="24"/>
        </w:rPr>
        <w:t xml:space="preserve"> olması durumunda, katılma paylarının satışa sunulmuş olduğu günlerin ilgili üç aylık dönemdeki gün sayısına oranı dikkate alınarak Kurul ücreti hesaplanır.</w:t>
      </w:r>
    </w:p>
    <w:p w:rsidR="00241AD2" w:rsidRPr="000100CE" w:rsidRDefault="00241AD2" w:rsidP="00686430">
      <w:pPr>
        <w:spacing w:after="240" w:line="240" w:lineRule="auto"/>
        <w:ind w:right="-141" w:firstLine="633"/>
        <w:jc w:val="both"/>
        <w:rPr>
          <w:rFonts w:ascii="Times New Roman" w:hAnsi="Times New Roman" w:cs="Times New Roman"/>
          <w:iCs/>
          <w:sz w:val="24"/>
          <w:szCs w:val="24"/>
        </w:rPr>
      </w:pPr>
      <w:r w:rsidRPr="000100CE">
        <w:rPr>
          <w:rFonts w:ascii="Times New Roman" w:hAnsi="Times New Roman" w:cs="Times New Roman"/>
          <w:iCs/>
          <w:sz w:val="24"/>
          <w:szCs w:val="24"/>
        </w:rPr>
        <w:t>Değerleme Tarihi: 30.09.20…</w:t>
      </w:r>
    </w:p>
    <w:tbl>
      <w:tblPr>
        <w:tblW w:w="7230" w:type="dxa"/>
        <w:tblInd w:w="912" w:type="dxa"/>
        <w:tblCellMar>
          <w:left w:w="0" w:type="dxa"/>
          <w:right w:w="0" w:type="dxa"/>
        </w:tblCellMar>
        <w:tblLook w:val="04A0" w:firstRow="1" w:lastRow="0" w:firstColumn="1" w:lastColumn="0" w:noHBand="0" w:noVBand="1"/>
      </w:tblPr>
      <w:tblGrid>
        <w:gridCol w:w="4040"/>
        <w:gridCol w:w="3190"/>
      </w:tblGrid>
      <w:tr w:rsidR="00AF602F" w:rsidRPr="000100CE" w:rsidTr="00505FB4">
        <w:trPr>
          <w:trHeight w:val="190"/>
        </w:trPr>
        <w:tc>
          <w:tcPr>
            <w:tcW w:w="40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41AD2" w:rsidRPr="000100CE" w:rsidRDefault="00241AD2" w:rsidP="00281BD1">
            <w:pPr>
              <w:spacing w:after="0" w:line="240" w:lineRule="auto"/>
              <w:ind w:right="-141"/>
              <w:jc w:val="both"/>
              <w:rPr>
                <w:rFonts w:ascii="Times New Roman" w:hAnsi="Times New Roman" w:cs="Times New Roman"/>
                <w:iCs/>
                <w:sz w:val="24"/>
                <w:szCs w:val="24"/>
              </w:rPr>
            </w:pPr>
            <w:r w:rsidRPr="00281BD1">
              <w:rPr>
                <w:rFonts w:ascii="Times New Roman" w:hAnsi="Times New Roman" w:cs="Times New Roman"/>
                <w:b/>
                <w:iCs/>
                <w:sz w:val="24"/>
                <w:szCs w:val="24"/>
              </w:rPr>
              <w:t>I.</w:t>
            </w:r>
            <w:r w:rsidRPr="000100CE">
              <w:rPr>
                <w:rFonts w:ascii="Times New Roman" w:hAnsi="Times New Roman" w:cs="Times New Roman"/>
                <w:iCs/>
                <w:sz w:val="24"/>
                <w:szCs w:val="24"/>
              </w:rPr>
              <w:t>Fon Portföy Değeri</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41AD2" w:rsidRPr="000100CE" w:rsidRDefault="00241AD2" w:rsidP="00281BD1">
            <w:pPr>
              <w:spacing w:after="0" w:line="240" w:lineRule="auto"/>
              <w:ind w:right="-141"/>
              <w:jc w:val="both"/>
              <w:rPr>
                <w:rFonts w:ascii="Times New Roman" w:hAnsi="Times New Roman" w:cs="Times New Roman"/>
                <w:iCs/>
                <w:sz w:val="24"/>
                <w:szCs w:val="24"/>
              </w:rPr>
            </w:pPr>
            <w:r w:rsidRPr="000100CE">
              <w:rPr>
                <w:rFonts w:ascii="Times New Roman" w:hAnsi="Times New Roman" w:cs="Times New Roman"/>
                <w:iCs/>
                <w:sz w:val="24"/>
                <w:szCs w:val="24"/>
              </w:rPr>
              <w:t>900.000 TL</w:t>
            </w:r>
          </w:p>
        </w:tc>
      </w:tr>
      <w:tr w:rsidR="00AF602F" w:rsidRPr="000100CE" w:rsidTr="00505FB4">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41AD2" w:rsidRPr="0051763D" w:rsidRDefault="00241AD2" w:rsidP="00281BD1">
            <w:pPr>
              <w:spacing w:after="0" w:line="240" w:lineRule="auto"/>
              <w:ind w:right="-141"/>
              <w:jc w:val="both"/>
              <w:rPr>
                <w:rFonts w:ascii="Times New Roman" w:hAnsi="Times New Roman" w:cs="Times New Roman"/>
                <w:iCs/>
                <w:sz w:val="24"/>
                <w:szCs w:val="24"/>
              </w:rPr>
            </w:pPr>
            <w:r w:rsidRPr="00281BD1">
              <w:rPr>
                <w:rFonts w:ascii="Times New Roman" w:hAnsi="Times New Roman" w:cs="Times New Roman"/>
                <w:b/>
                <w:iCs/>
                <w:sz w:val="24"/>
                <w:szCs w:val="24"/>
              </w:rPr>
              <w:t>II.</w:t>
            </w:r>
            <w:r w:rsidRPr="0051763D">
              <w:rPr>
                <w:rFonts w:ascii="Times New Roman" w:hAnsi="Times New Roman" w:cs="Times New Roman"/>
                <w:iCs/>
                <w:sz w:val="24"/>
                <w:szCs w:val="24"/>
              </w:rPr>
              <w:t>Nakit</w:t>
            </w: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tcPr>
          <w:p w:rsidR="00241AD2" w:rsidRPr="0051763D" w:rsidRDefault="00241AD2" w:rsidP="00281BD1">
            <w:pPr>
              <w:spacing w:after="0" w:line="240" w:lineRule="auto"/>
              <w:ind w:right="-141"/>
              <w:jc w:val="both"/>
              <w:rPr>
                <w:rFonts w:ascii="Times New Roman" w:hAnsi="Times New Roman" w:cs="Times New Roman"/>
                <w:iCs/>
                <w:sz w:val="24"/>
                <w:szCs w:val="24"/>
              </w:rPr>
            </w:pPr>
            <w:r w:rsidRPr="0051763D">
              <w:rPr>
                <w:rFonts w:ascii="Times New Roman" w:hAnsi="Times New Roman" w:cs="Times New Roman"/>
                <w:iCs/>
                <w:sz w:val="24"/>
                <w:szCs w:val="24"/>
              </w:rPr>
              <w:t>50 TL</w:t>
            </w:r>
          </w:p>
        </w:tc>
      </w:tr>
      <w:tr w:rsidR="00AF602F" w:rsidRPr="000100CE" w:rsidTr="00505FB4">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41AD2" w:rsidRPr="0051763D" w:rsidRDefault="00241AD2" w:rsidP="00281BD1">
            <w:pPr>
              <w:spacing w:after="0" w:line="240" w:lineRule="auto"/>
              <w:ind w:right="-141"/>
              <w:jc w:val="both"/>
              <w:rPr>
                <w:rFonts w:ascii="Times New Roman" w:hAnsi="Times New Roman" w:cs="Times New Roman"/>
                <w:iCs/>
                <w:sz w:val="24"/>
                <w:szCs w:val="24"/>
              </w:rPr>
            </w:pPr>
            <w:r w:rsidRPr="00281BD1">
              <w:rPr>
                <w:rFonts w:ascii="Times New Roman" w:hAnsi="Times New Roman" w:cs="Times New Roman"/>
                <w:b/>
                <w:iCs/>
                <w:sz w:val="24"/>
                <w:szCs w:val="24"/>
              </w:rPr>
              <w:t>III.</w:t>
            </w:r>
            <w:r w:rsidRPr="0051763D">
              <w:rPr>
                <w:rFonts w:ascii="Times New Roman" w:hAnsi="Times New Roman" w:cs="Times New Roman"/>
                <w:iCs/>
                <w:sz w:val="24"/>
                <w:szCs w:val="24"/>
              </w:rPr>
              <w:t>Alacaklar</w:t>
            </w: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tcPr>
          <w:p w:rsidR="00241AD2" w:rsidRPr="0051763D" w:rsidRDefault="00241AD2" w:rsidP="00281BD1">
            <w:pPr>
              <w:spacing w:after="0" w:line="240" w:lineRule="auto"/>
              <w:ind w:right="-141"/>
              <w:jc w:val="both"/>
              <w:rPr>
                <w:rFonts w:ascii="Times New Roman" w:hAnsi="Times New Roman" w:cs="Times New Roman"/>
                <w:iCs/>
                <w:sz w:val="24"/>
                <w:szCs w:val="24"/>
              </w:rPr>
            </w:pPr>
            <w:r w:rsidRPr="0051763D">
              <w:rPr>
                <w:rFonts w:ascii="Times New Roman" w:hAnsi="Times New Roman" w:cs="Times New Roman"/>
                <w:iCs/>
                <w:sz w:val="24"/>
                <w:szCs w:val="24"/>
              </w:rPr>
              <w:t>150.000 TL</w:t>
            </w:r>
          </w:p>
        </w:tc>
      </w:tr>
      <w:tr w:rsidR="00AF602F" w:rsidRPr="000100CE" w:rsidTr="00505FB4">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41AD2" w:rsidRPr="0051763D" w:rsidRDefault="00241AD2" w:rsidP="00281BD1">
            <w:pPr>
              <w:spacing w:after="0" w:line="240" w:lineRule="auto"/>
              <w:ind w:right="-141"/>
              <w:jc w:val="both"/>
              <w:rPr>
                <w:rFonts w:ascii="Times New Roman" w:hAnsi="Times New Roman" w:cs="Times New Roman"/>
                <w:iCs/>
                <w:sz w:val="24"/>
                <w:szCs w:val="24"/>
              </w:rPr>
            </w:pPr>
            <w:r w:rsidRPr="00281BD1">
              <w:rPr>
                <w:rFonts w:ascii="Times New Roman" w:hAnsi="Times New Roman" w:cs="Times New Roman"/>
                <w:b/>
                <w:iCs/>
                <w:sz w:val="24"/>
                <w:szCs w:val="24"/>
              </w:rPr>
              <w:t>IV</w:t>
            </w:r>
            <w:r w:rsidRPr="0051763D">
              <w:rPr>
                <w:rFonts w:ascii="Times New Roman" w:hAnsi="Times New Roman" w:cs="Times New Roman"/>
                <w:iCs/>
                <w:sz w:val="24"/>
                <w:szCs w:val="24"/>
              </w:rPr>
              <w:t>.Borçlar</w:t>
            </w: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tcPr>
          <w:p w:rsidR="00241AD2" w:rsidRPr="000100CE" w:rsidRDefault="00241AD2" w:rsidP="00281BD1">
            <w:pPr>
              <w:spacing w:after="0" w:line="240" w:lineRule="auto"/>
              <w:ind w:right="-141"/>
              <w:jc w:val="both"/>
              <w:rPr>
                <w:rFonts w:ascii="Times New Roman" w:hAnsi="Times New Roman" w:cs="Times New Roman"/>
                <w:iCs/>
                <w:sz w:val="24"/>
                <w:szCs w:val="24"/>
              </w:rPr>
            </w:pPr>
            <w:r w:rsidRPr="0051763D">
              <w:rPr>
                <w:rFonts w:ascii="Times New Roman" w:hAnsi="Times New Roman" w:cs="Times New Roman"/>
                <w:iCs/>
                <w:sz w:val="24"/>
                <w:szCs w:val="24"/>
              </w:rPr>
              <w:t>50.000</w:t>
            </w:r>
            <w:r w:rsidRPr="000100CE">
              <w:rPr>
                <w:rFonts w:ascii="Times New Roman" w:hAnsi="Times New Roman" w:cs="Times New Roman"/>
                <w:iCs/>
                <w:sz w:val="24"/>
                <w:szCs w:val="24"/>
              </w:rPr>
              <w:t xml:space="preserve"> TL</w:t>
            </w:r>
          </w:p>
        </w:tc>
      </w:tr>
      <w:tr w:rsidR="00AF602F" w:rsidRPr="000100CE" w:rsidTr="00505FB4">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41AD2" w:rsidRPr="0051763D" w:rsidRDefault="00241AD2" w:rsidP="00281BD1">
            <w:pPr>
              <w:spacing w:after="0" w:line="240" w:lineRule="auto"/>
              <w:ind w:right="-141"/>
              <w:jc w:val="both"/>
              <w:rPr>
                <w:rFonts w:ascii="Times New Roman" w:hAnsi="Times New Roman" w:cs="Times New Roman"/>
                <w:iCs/>
                <w:sz w:val="24"/>
                <w:szCs w:val="24"/>
              </w:rPr>
            </w:pPr>
            <w:r w:rsidRPr="00281BD1">
              <w:rPr>
                <w:rFonts w:ascii="Times New Roman" w:hAnsi="Times New Roman" w:cs="Times New Roman"/>
                <w:b/>
                <w:iCs/>
                <w:sz w:val="24"/>
                <w:szCs w:val="24"/>
              </w:rPr>
              <w:t>V.</w:t>
            </w:r>
            <w:r w:rsidRPr="0051763D">
              <w:rPr>
                <w:rFonts w:ascii="Times New Roman" w:hAnsi="Times New Roman" w:cs="Times New Roman"/>
                <w:iCs/>
                <w:sz w:val="24"/>
                <w:szCs w:val="24"/>
              </w:rPr>
              <w:t>Kurul Ücreti Öncesi Fon Toplam Değeri (</w:t>
            </w:r>
            <w:r w:rsidRPr="00281BD1">
              <w:rPr>
                <w:rFonts w:ascii="Times New Roman" w:hAnsi="Times New Roman" w:cs="Times New Roman"/>
                <w:b/>
                <w:iCs/>
                <w:sz w:val="24"/>
                <w:szCs w:val="24"/>
              </w:rPr>
              <w:t>I+II+III-IV</w:t>
            </w:r>
            <w:r w:rsidRPr="0051763D">
              <w:rPr>
                <w:rFonts w:ascii="Times New Roman" w:hAnsi="Times New Roman" w:cs="Times New Roman"/>
                <w:iCs/>
                <w:sz w:val="24"/>
                <w:szCs w:val="24"/>
              </w:rPr>
              <w:t>)</w:t>
            </w: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tcPr>
          <w:p w:rsidR="00241AD2" w:rsidRPr="0051763D" w:rsidRDefault="00241AD2" w:rsidP="00281BD1">
            <w:pPr>
              <w:spacing w:after="0" w:line="240" w:lineRule="auto"/>
              <w:ind w:right="-141"/>
              <w:jc w:val="both"/>
              <w:rPr>
                <w:rFonts w:ascii="Times New Roman" w:hAnsi="Times New Roman" w:cs="Times New Roman"/>
                <w:iCs/>
                <w:sz w:val="24"/>
                <w:szCs w:val="24"/>
              </w:rPr>
            </w:pPr>
            <w:r w:rsidRPr="0051763D">
              <w:rPr>
                <w:rFonts w:ascii="Times New Roman" w:hAnsi="Times New Roman" w:cs="Times New Roman"/>
                <w:iCs/>
                <w:sz w:val="24"/>
                <w:szCs w:val="24"/>
              </w:rPr>
              <w:t>1.000.050 TL</w:t>
            </w:r>
          </w:p>
        </w:tc>
      </w:tr>
      <w:tr w:rsidR="00AF602F" w:rsidRPr="000100CE" w:rsidTr="00505FB4">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41AD2" w:rsidRPr="000100CE" w:rsidRDefault="00241AD2" w:rsidP="00281BD1">
            <w:pPr>
              <w:spacing w:after="0" w:line="240" w:lineRule="auto"/>
              <w:ind w:right="-141"/>
              <w:jc w:val="both"/>
              <w:rPr>
                <w:rFonts w:ascii="Times New Roman" w:hAnsi="Times New Roman" w:cs="Times New Roman"/>
                <w:iCs/>
                <w:sz w:val="24"/>
                <w:szCs w:val="24"/>
              </w:rPr>
            </w:pPr>
            <w:r w:rsidRPr="00281BD1">
              <w:rPr>
                <w:rFonts w:ascii="Times New Roman" w:hAnsi="Times New Roman" w:cs="Times New Roman"/>
                <w:b/>
                <w:iCs/>
                <w:sz w:val="24"/>
                <w:szCs w:val="24"/>
              </w:rPr>
              <w:t>VI.</w:t>
            </w:r>
            <w:r w:rsidRPr="0051763D">
              <w:rPr>
                <w:rFonts w:ascii="Times New Roman" w:hAnsi="Times New Roman" w:cs="Times New Roman"/>
                <w:iCs/>
                <w:sz w:val="24"/>
                <w:szCs w:val="24"/>
              </w:rPr>
              <w:t xml:space="preserve"> Kurul Ücreti (</w:t>
            </w:r>
            <w:r w:rsidRPr="00281BD1">
              <w:rPr>
                <w:rFonts w:ascii="Times New Roman" w:hAnsi="Times New Roman" w:cs="Times New Roman"/>
                <w:b/>
                <w:iCs/>
                <w:sz w:val="24"/>
                <w:szCs w:val="24"/>
              </w:rPr>
              <w:t>V*(5/100.00</w:t>
            </w:r>
            <w:r w:rsidR="00160A8C" w:rsidRPr="00281BD1">
              <w:rPr>
                <w:rFonts w:ascii="Times New Roman" w:hAnsi="Times New Roman" w:cs="Times New Roman"/>
                <w:b/>
                <w:iCs/>
                <w:sz w:val="24"/>
                <w:szCs w:val="24"/>
              </w:rPr>
              <w:t>5</w:t>
            </w:r>
            <w:r w:rsidRPr="00281BD1">
              <w:rPr>
                <w:rFonts w:ascii="Times New Roman" w:hAnsi="Times New Roman" w:cs="Times New Roman"/>
                <w:b/>
                <w:iCs/>
                <w:sz w:val="24"/>
                <w:szCs w:val="24"/>
              </w:rPr>
              <w:t>)</w:t>
            </w:r>
            <w:r w:rsidRPr="000100CE">
              <w:rPr>
                <w:rFonts w:ascii="Times New Roman" w:hAnsi="Times New Roman" w:cs="Times New Roman"/>
                <w:iCs/>
                <w:sz w:val="24"/>
                <w:szCs w:val="24"/>
              </w:rPr>
              <w:t>)</w:t>
            </w: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tcPr>
          <w:p w:rsidR="00241AD2" w:rsidRPr="000100CE" w:rsidRDefault="00241AD2" w:rsidP="00281BD1">
            <w:pPr>
              <w:spacing w:after="0" w:line="240" w:lineRule="auto"/>
              <w:ind w:right="-141"/>
              <w:jc w:val="both"/>
              <w:rPr>
                <w:rFonts w:ascii="Times New Roman" w:hAnsi="Times New Roman" w:cs="Times New Roman"/>
                <w:iCs/>
                <w:sz w:val="24"/>
                <w:szCs w:val="24"/>
              </w:rPr>
            </w:pPr>
            <w:r w:rsidRPr="000100CE">
              <w:rPr>
                <w:rFonts w:ascii="Times New Roman" w:hAnsi="Times New Roman" w:cs="Times New Roman"/>
                <w:iCs/>
                <w:sz w:val="24"/>
                <w:szCs w:val="24"/>
              </w:rPr>
              <w:t>50 TL</w:t>
            </w:r>
          </w:p>
        </w:tc>
      </w:tr>
      <w:tr w:rsidR="00241AD2" w:rsidRPr="000100CE" w:rsidTr="00505FB4">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41AD2" w:rsidRPr="0051763D" w:rsidRDefault="00241AD2" w:rsidP="00281BD1">
            <w:pPr>
              <w:spacing w:after="0" w:line="240" w:lineRule="auto"/>
              <w:ind w:right="-141"/>
              <w:jc w:val="both"/>
              <w:rPr>
                <w:rFonts w:ascii="Times New Roman" w:hAnsi="Times New Roman" w:cs="Times New Roman"/>
                <w:iCs/>
                <w:sz w:val="24"/>
                <w:szCs w:val="24"/>
              </w:rPr>
            </w:pPr>
            <w:r w:rsidRPr="00281BD1">
              <w:rPr>
                <w:rFonts w:ascii="Times New Roman" w:hAnsi="Times New Roman" w:cs="Times New Roman"/>
                <w:b/>
                <w:iCs/>
                <w:sz w:val="24"/>
                <w:szCs w:val="24"/>
              </w:rPr>
              <w:t>VII.</w:t>
            </w:r>
            <w:r w:rsidRPr="0051763D">
              <w:rPr>
                <w:rFonts w:ascii="Times New Roman" w:hAnsi="Times New Roman" w:cs="Times New Roman"/>
                <w:iCs/>
                <w:sz w:val="24"/>
                <w:szCs w:val="24"/>
              </w:rPr>
              <w:t xml:space="preserve"> Fon Toplam Değeri (</w:t>
            </w:r>
            <w:r w:rsidRPr="00281BD1">
              <w:rPr>
                <w:rFonts w:ascii="Times New Roman" w:hAnsi="Times New Roman" w:cs="Times New Roman"/>
                <w:b/>
                <w:iCs/>
                <w:sz w:val="24"/>
                <w:szCs w:val="24"/>
              </w:rPr>
              <w:t>V-VI</w:t>
            </w:r>
            <w:r w:rsidRPr="0051763D">
              <w:rPr>
                <w:rFonts w:ascii="Times New Roman" w:hAnsi="Times New Roman" w:cs="Times New Roman"/>
                <w:iCs/>
                <w:sz w:val="24"/>
                <w:szCs w:val="24"/>
              </w:rPr>
              <w:t>)</w:t>
            </w: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tcPr>
          <w:p w:rsidR="00241AD2" w:rsidRPr="0051763D" w:rsidRDefault="00241AD2" w:rsidP="00281BD1">
            <w:pPr>
              <w:spacing w:after="0" w:line="240" w:lineRule="auto"/>
              <w:ind w:right="-141"/>
              <w:jc w:val="both"/>
              <w:rPr>
                <w:rFonts w:ascii="Times New Roman" w:hAnsi="Times New Roman" w:cs="Times New Roman"/>
                <w:iCs/>
                <w:sz w:val="24"/>
                <w:szCs w:val="24"/>
              </w:rPr>
            </w:pPr>
            <w:r w:rsidRPr="0051763D">
              <w:rPr>
                <w:rFonts w:ascii="Times New Roman" w:hAnsi="Times New Roman" w:cs="Times New Roman"/>
                <w:iCs/>
                <w:sz w:val="24"/>
                <w:szCs w:val="24"/>
              </w:rPr>
              <w:t>1.000.000 TL</w:t>
            </w:r>
          </w:p>
        </w:tc>
      </w:tr>
    </w:tbl>
    <w:p w:rsidR="0008342A" w:rsidRDefault="0008342A" w:rsidP="009D534F">
      <w:pPr>
        <w:pStyle w:val="ListParagraph"/>
        <w:spacing w:after="240" w:line="240" w:lineRule="auto"/>
        <w:ind w:left="1287" w:right="-141"/>
        <w:jc w:val="both"/>
        <w:rPr>
          <w:rFonts w:ascii="Times New Roman" w:hAnsi="Times New Roman" w:cs="Times New Roman"/>
          <w:sz w:val="24"/>
          <w:szCs w:val="24"/>
        </w:rPr>
      </w:pPr>
    </w:p>
    <w:p w:rsidR="0008342A" w:rsidRDefault="0008342A" w:rsidP="0006161B">
      <w:pPr>
        <w:pStyle w:val="ListParagraph"/>
        <w:numPr>
          <w:ilvl w:val="0"/>
          <w:numId w:val="9"/>
        </w:numPr>
        <w:spacing w:after="240" w:line="240" w:lineRule="auto"/>
        <w:jc w:val="both"/>
        <w:rPr>
          <w:rFonts w:ascii="Times New Roman" w:hAnsi="Times New Roman" w:cs="Times New Roman"/>
          <w:sz w:val="24"/>
          <w:szCs w:val="24"/>
        </w:rPr>
      </w:pPr>
      <w:r w:rsidRPr="000100CE">
        <w:rPr>
          <w:rFonts w:ascii="Times New Roman" w:hAnsi="Times New Roman" w:cs="Times New Roman"/>
          <w:sz w:val="24"/>
          <w:szCs w:val="24"/>
        </w:rPr>
        <w:t xml:space="preserve">Yukarıdaki şekilde hesaplanan ve portföy saklayıcısı tarafından onaylanan Kurul ücreti izleyen </w:t>
      </w:r>
      <w:r w:rsidR="00281BD1">
        <w:rPr>
          <w:rFonts w:ascii="Times New Roman" w:hAnsi="Times New Roman" w:cs="Times New Roman"/>
          <w:sz w:val="24"/>
          <w:szCs w:val="24"/>
        </w:rPr>
        <w:t>10</w:t>
      </w:r>
      <w:r w:rsidR="00B873F6">
        <w:rPr>
          <w:rFonts w:ascii="Times New Roman" w:hAnsi="Times New Roman" w:cs="Times New Roman"/>
          <w:sz w:val="24"/>
          <w:szCs w:val="24"/>
        </w:rPr>
        <w:t xml:space="preserve"> </w:t>
      </w:r>
      <w:r w:rsidRPr="000100CE">
        <w:rPr>
          <w:rFonts w:ascii="Times New Roman" w:hAnsi="Times New Roman" w:cs="Times New Roman"/>
          <w:sz w:val="24"/>
          <w:szCs w:val="24"/>
        </w:rPr>
        <w:t>iş günü içerisinde Kurul Hesabına yatırılarak ilgili dekontların ve hesaplama tablosunun bir örneği Kurula iletilir.</w:t>
      </w:r>
    </w:p>
    <w:p w:rsidR="00281BD1" w:rsidRPr="000100CE" w:rsidRDefault="00281BD1" w:rsidP="00281BD1">
      <w:pPr>
        <w:pStyle w:val="ListParagraph"/>
        <w:spacing w:after="240" w:line="240" w:lineRule="auto"/>
        <w:ind w:left="1287"/>
        <w:jc w:val="both"/>
        <w:rPr>
          <w:rFonts w:ascii="Times New Roman" w:hAnsi="Times New Roman" w:cs="Times New Roman"/>
          <w:sz w:val="24"/>
          <w:szCs w:val="24"/>
        </w:rPr>
      </w:pPr>
    </w:p>
    <w:p w:rsidR="006964B1" w:rsidRPr="00BB59D4" w:rsidRDefault="006964B1" w:rsidP="0006161B">
      <w:pPr>
        <w:pStyle w:val="ListParagraph"/>
        <w:numPr>
          <w:ilvl w:val="0"/>
          <w:numId w:val="9"/>
        </w:numPr>
        <w:spacing w:after="240" w:line="240" w:lineRule="auto"/>
        <w:jc w:val="both"/>
      </w:pPr>
      <w:r w:rsidRPr="009D534F">
        <w:rPr>
          <w:rFonts w:ascii="Times New Roman" w:hAnsi="Times New Roman" w:cs="Times New Roman"/>
          <w:sz w:val="24"/>
          <w:szCs w:val="24"/>
        </w:rPr>
        <w:t>Son iş</w:t>
      </w:r>
      <w:r w:rsidR="00280CD8">
        <w:rPr>
          <w:rFonts w:ascii="Times New Roman" w:hAnsi="Times New Roman" w:cs="Times New Roman"/>
          <w:sz w:val="24"/>
          <w:szCs w:val="24"/>
        </w:rPr>
        <w:t xml:space="preserve"> </w:t>
      </w:r>
      <w:r w:rsidRPr="009D534F">
        <w:rPr>
          <w:rFonts w:ascii="Times New Roman" w:hAnsi="Times New Roman" w:cs="Times New Roman"/>
          <w:sz w:val="24"/>
          <w:szCs w:val="24"/>
        </w:rPr>
        <w:t>günündeki fon toplam değerinin belirlenmesinde</w:t>
      </w:r>
      <w:r w:rsidR="00281BD1">
        <w:rPr>
          <w:rFonts w:ascii="Times New Roman" w:hAnsi="Times New Roman" w:cs="Times New Roman"/>
          <w:sz w:val="24"/>
          <w:szCs w:val="24"/>
        </w:rPr>
        <w:t>;</w:t>
      </w:r>
    </w:p>
    <w:p w:rsidR="0008342A" w:rsidRDefault="00600097" w:rsidP="0006161B">
      <w:pPr>
        <w:pStyle w:val="Default"/>
        <w:numPr>
          <w:ilvl w:val="0"/>
          <w:numId w:val="10"/>
        </w:numPr>
        <w:spacing w:line="276" w:lineRule="auto"/>
        <w:ind w:hanging="229"/>
        <w:jc w:val="both"/>
      </w:pPr>
      <w:r>
        <w:t xml:space="preserve">İleri fiyat uygulanan fonlar için, ilgili iş günü verilen alım satım emirlerinin gerçekleştirileceği birim pay fiyatının hesaplanması için hazırlanan tablolarda yer alan </w:t>
      </w:r>
      <w:r w:rsidR="00482ACC">
        <w:t>fon toplam</w:t>
      </w:r>
      <w:r w:rsidR="006964B1">
        <w:t xml:space="preserve"> değeri</w:t>
      </w:r>
      <w:r>
        <w:t>,</w:t>
      </w:r>
    </w:p>
    <w:p w:rsidR="00600097" w:rsidRDefault="00600097" w:rsidP="0006161B">
      <w:pPr>
        <w:pStyle w:val="Default"/>
        <w:numPr>
          <w:ilvl w:val="0"/>
          <w:numId w:val="10"/>
        </w:numPr>
        <w:spacing w:line="276" w:lineRule="auto"/>
        <w:ind w:hanging="229"/>
        <w:jc w:val="both"/>
      </w:pPr>
      <w:r>
        <w:t>Geri fiyat uygulanan fonlar için ise, ertesi iş günü verilen alım satım emirlerinin gerçekleştirileceği birim pay fiyatının hesaplanması için hazırlanan tablolar</w:t>
      </w:r>
      <w:r w:rsidR="006964B1">
        <w:t xml:space="preserve">da yer alan </w:t>
      </w:r>
      <w:r w:rsidR="00482ACC">
        <w:t>fon toplam</w:t>
      </w:r>
      <w:r w:rsidR="006964B1">
        <w:t xml:space="preserve"> değeri</w:t>
      </w:r>
    </w:p>
    <w:p w:rsidR="00281BD1" w:rsidRDefault="006964B1" w:rsidP="00281BD1">
      <w:pPr>
        <w:pStyle w:val="Default"/>
        <w:spacing w:line="276" w:lineRule="auto"/>
        <w:ind w:hanging="229"/>
        <w:jc w:val="both"/>
      </w:pPr>
      <w:r>
        <w:tab/>
      </w:r>
      <w:r w:rsidR="0008342A">
        <w:tab/>
      </w:r>
    </w:p>
    <w:p w:rsidR="00CA03E0" w:rsidRDefault="006964B1" w:rsidP="00281BD1">
      <w:pPr>
        <w:pStyle w:val="Default"/>
        <w:spacing w:line="276" w:lineRule="auto"/>
        <w:ind w:firstLine="1418"/>
        <w:jc w:val="both"/>
      </w:pPr>
      <w:r>
        <w:t xml:space="preserve">esas alınır. </w:t>
      </w:r>
    </w:p>
    <w:p w:rsidR="00281BD1" w:rsidRDefault="00281BD1" w:rsidP="005845F8">
      <w:pPr>
        <w:pStyle w:val="Default"/>
        <w:spacing w:line="276" w:lineRule="auto"/>
        <w:jc w:val="both"/>
      </w:pPr>
    </w:p>
    <w:p w:rsidR="00DE4179" w:rsidRPr="0097745C" w:rsidRDefault="00C01861" w:rsidP="0006161B">
      <w:pPr>
        <w:pStyle w:val="ListParagraph"/>
        <w:numPr>
          <w:ilvl w:val="0"/>
          <w:numId w:val="9"/>
        </w:numPr>
        <w:spacing w:after="240" w:line="240" w:lineRule="auto"/>
        <w:jc w:val="both"/>
        <w:rPr>
          <w:rFonts w:ascii="Times New Roman" w:eastAsia="Times New Roman" w:hAnsi="Times New Roman" w:cs="Times New Roman"/>
          <w:color w:val="000000"/>
          <w:sz w:val="24"/>
          <w:szCs w:val="24"/>
          <w:lang w:eastAsia="tr-TR"/>
        </w:rPr>
      </w:pPr>
      <w:r w:rsidRPr="00CA03E0">
        <w:rPr>
          <w:rFonts w:ascii="Times New Roman" w:eastAsia="Times New Roman" w:hAnsi="Times New Roman" w:cs="Times New Roman"/>
          <w:color w:val="000000"/>
          <w:sz w:val="24"/>
          <w:szCs w:val="24"/>
          <w:lang w:eastAsia="tr-TR"/>
        </w:rPr>
        <w:t>F</w:t>
      </w:r>
      <w:r w:rsidR="00C0652D" w:rsidRPr="00CA03E0">
        <w:rPr>
          <w:rFonts w:ascii="Times New Roman" w:eastAsia="Times New Roman" w:hAnsi="Times New Roman" w:cs="Times New Roman"/>
          <w:color w:val="000000"/>
          <w:sz w:val="24"/>
          <w:szCs w:val="24"/>
          <w:lang w:eastAsia="tr-TR"/>
        </w:rPr>
        <w:t xml:space="preserve">on toplam değeri ve birim pay fiyatı hesaplaması </w:t>
      </w:r>
      <w:r w:rsidR="00875CB8">
        <w:rPr>
          <w:rFonts w:ascii="Times New Roman" w:eastAsia="Times New Roman" w:hAnsi="Times New Roman" w:cs="Times New Roman"/>
          <w:color w:val="000000"/>
          <w:sz w:val="24"/>
          <w:szCs w:val="24"/>
          <w:lang w:eastAsia="tr-TR"/>
        </w:rPr>
        <w:t>3</w:t>
      </w:r>
      <w:r w:rsidR="00280CD8">
        <w:rPr>
          <w:rFonts w:ascii="Times New Roman" w:eastAsia="Times New Roman" w:hAnsi="Times New Roman" w:cs="Times New Roman"/>
          <w:color w:val="000000"/>
          <w:sz w:val="24"/>
          <w:szCs w:val="24"/>
          <w:lang w:eastAsia="tr-TR"/>
        </w:rPr>
        <w:t xml:space="preserve"> </w:t>
      </w:r>
      <w:r w:rsidR="00CA03E0" w:rsidRPr="00CA03E0">
        <w:rPr>
          <w:rFonts w:ascii="Times New Roman" w:eastAsia="Times New Roman" w:hAnsi="Times New Roman" w:cs="Times New Roman"/>
          <w:color w:val="000000"/>
          <w:sz w:val="24"/>
          <w:szCs w:val="24"/>
          <w:lang w:eastAsia="tr-TR"/>
        </w:rPr>
        <w:t>aylık dönemlerin</w:t>
      </w:r>
      <w:r w:rsidR="00280CD8">
        <w:rPr>
          <w:rFonts w:ascii="Times New Roman" w:eastAsia="Times New Roman" w:hAnsi="Times New Roman" w:cs="Times New Roman"/>
          <w:color w:val="000000"/>
          <w:sz w:val="24"/>
          <w:szCs w:val="24"/>
          <w:lang w:eastAsia="tr-TR"/>
        </w:rPr>
        <w:t xml:space="preserve"> </w:t>
      </w:r>
      <w:r w:rsidR="00C0652D" w:rsidRPr="00CA03E0">
        <w:rPr>
          <w:rFonts w:ascii="Times New Roman" w:eastAsia="Times New Roman" w:hAnsi="Times New Roman" w:cs="Times New Roman"/>
          <w:color w:val="000000"/>
          <w:sz w:val="24"/>
          <w:szCs w:val="24"/>
          <w:lang w:eastAsia="tr-TR"/>
        </w:rPr>
        <w:t>son iş gününe tekabül etmeyen garantili ve koruma amaçlı fonlar ile Fon Tebliği’nin 14</w:t>
      </w:r>
      <w:r w:rsidR="00875CB8">
        <w:rPr>
          <w:rFonts w:ascii="Times New Roman" w:eastAsia="Times New Roman" w:hAnsi="Times New Roman" w:cs="Times New Roman"/>
          <w:color w:val="000000"/>
          <w:sz w:val="24"/>
          <w:szCs w:val="24"/>
          <w:lang w:eastAsia="tr-TR"/>
        </w:rPr>
        <w:t>’</w:t>
      </w:r>
      <w:r w:rsidR="00C0652D" w:rsidRPr="00CA03E0">
        <w:rPr>
          <w:rFonts w:ascii="Times New Roman" w:eastAsia="Times New Roman" w:hAnsi="Times New Roman" w:cs="Times New Roman"/>
          <w:color w:val="000000"/>
          <w:sz w:val="24"/>
          <w:szCs w:val="24"/>
          <w:lang w:eastAsia="tr-TR"/>
        </w:rPr>
        <w:t>üncü maddesinin dördüncü fıkrası çerçevesinde istisna getirilen fonlar için,</w:t>
      </w:r>
      <w:r w:rsidR="00DE4179" w:rsidRPr="00CA03E0">
        <w:rPr>
          <w:rFonts w:ascii="Times New Roman" w:eastAsia="Times New Roman" w:hAnsi="Times New Roman" w:cs="Times New Roman"/>
          <w:color w:val="000000"/>
          <w:sz w:val="24"/>
          <w:szCs w:val="24"/>
          <w:lang w:eastAsia="tr-TR"/>
        </w:rPr>
        <w:t xml:space="preserve"> fon izahnamesinde yer alan portföy değerleme esasları </w:t>
      </w:r>
      <w:r w:rsidR="00CA03E0">
        <w:rPr>
          <w:rFonts w:ascii="Times New Roman" w:eastAsia="Times New Roman" w:hAnsi="Times New Roman" w:cs="Times New Roman"/>
          <w:color w:val="000000"/>
          <w:sz w:val="24"/>
          <w:szCs w:val="24"/>
          <w:lang w:eastAsia="tr-TR"/>
        </w:rPr>
        <w:t>(</w:t>
      </w:r>
      <w:r w:rsidR="00CA03E0" w:rsidRPr="00CA03E0">
        <w:rPr>
          <w:rFonts w:ascii="Times New Roman" w:eastAsia="Times New Roman" w:hAnsi="Times New Roman" w:cs="Times New Roman"/>
          <w:color w:val="000000"/>
          <w:sz w:val="24"/>
          <w:szCs w:val="24"/>
          <w:lang w:eastAsia="tr-TR"/>
        </w:rPr>
        <w:t xml:space="preserve">opsiyon için karşı taraftan son </w:t>
      </w:r>
      <w:r w:rsidR="00CA03E0" w:rsidRPr="0097745C">
        <w:rPr>
          <w:rFonts w:ascii="Times New Roman" w:eastAsia="Times New Roman" w:hAnsi="Times New Roman" w:cs="Times New Roman"/>
          <w:color w:val="000000"/>
          <w:sz w:val="24"/>
          <w:szCs w:val="24"/>
          <w:lang w:eastAsia="tr-TR"/>
        </w:rPr>
        <w:t xml:space="preserve">değerleme tarihinde alınan fiyat) </w:t>
      </w:r>
      <w:r w:rsidR="00DE4179" w:rsidRPr="0097745C">
        <w:rPr>
          <w:rFonts w:ascii="Times New Roman" w:eastAsia="Times New Roman" w:hAnsi="Times New Roman" w:cs="Times New Roman"/>
          <w:color w:val="000000"/>
          <w:sz w:val="24"/>
          <w:szCs w:val="24"/>
          <w:lang w:eastAsia="tr-TR"/>
        </w:rPr>
        <w:t>kullanılarak</w:t>
      </w:r>
      <w:r w:rsidR="00280CD8">
        <w:rPr>
          <w:rFonts w:ascii="Times New Roman" w:eastAsia="Times New Roman" w:hAnsi="Times New Roman" w:cs="Times New Roman"/>
          <w:color w:val="000000"/>
          <w:sz w:val="24"/>
          <w:szCs w:val="24"/>
          <w:lang w:eastAsia="tr-TR"/>
        </w:rPr>
        <w:t xml:space="preserve"> </w:t>
      </w:r>
      <w:r w:rsidR="00810AB9">
        <w:rPr>
          <w:rFonts w:ascii="Times New Roman" w:eastAsia="Times New Roman" w:hAnsi="Times New Roman" w:cs="Times New Roman"/>
          <w:color w:val="000000"/>
          <w:sz w:val="24"/>
          <w:szCs w:val="24"/>
          <w:lang w:eastAsia="tr-TR"/>
        </w:rPr>
        <w:t>3</w:t>
      </w:r>
      <w:r w:rsidR="00280CD8">
        <w:rPr>
          <w:rFonts w:ascii="Times New Roman" w:eastAsia="Times New Roman" w:hAnsi="Times New Roman" w:cs="Times New Roman"/>
          <w:color w:val="000000"/>
          <w:sz w:val="24"/>
          <w:szCs w:val="24"/>
          <w:lang w:eastAsia="tr-TR"/>
        </w:rPr>
        <w:t xml:space="preserve"> </w:t>
      </w:r>
      <w:r w:rsidR="00CA03E0" w:rsidRPr="0097745C">
        <w:rPr>
          <w:rFonts w:ascii="Times New Roman" w:eastAsia="Times New Roman" w:hAnsi="Times New Roman" w:cs="Times New Roman"/>
          <w:color w:val="000000"/>
          <w:sz w:val="24"/>
          <w:szCs w:val="24"/>
          <w:lang w:eastAsia="tr-TR"/>
        </w:rPr>
        <w:t xml:space="preserve">aylık dönemlerin </w:t>
      </w:r>
      <w:r w:rsidR="00DE4179" w:rsidRPr="0097745C">
        <w:rPr>
          <w:rFonts w:ascii="Times New Roman" w:eastAsia="Times New Roman" w:hAnsi="Times New Roman" w:cs="Times New Roman"/>
          <w:color w:val="000000"/>
          <w:sz w:val="24"/>
          <w:szCs w:val="24"/>
          <w:lang w:eastAsia="tr-TR"/>
        </w:rPr>
        <w:t>son iş gününde bulunan fon toplam değeri üzerinden Kurul ücreti tahakkuk ettirilir.</w:t>
      </w:r>
    </w:p>
    <w:p w:rsidR="0087557C" w:rsidRDefault="00F56A50" w:rsidP="00856E6D">
      <w:pPr>
        <w:pStyle w:val="Heading1"/>
        <w:spacing w:after="240"/>
        <w:jc w:val="both"/>
      </w:pPr>
      <w:bookmarkStart w:id="302" w:name="_Toc130312632"/>
      <w:bookmarkStart w:id="303" w:name="_Toc130312765"/>
      <w:r w:rsidRPr="00FC663D">
        <w:t>1</w:t>
      </w:r>
      <w:r w:rsidR="000C6C1D" w:rsidRPr="00FC663D">
        <w:t>1</w:t>
      </w:r>
      <w:r w:rsidR="0087557C" w:rsidRPr="00FC663D">
        <w:t xml:space="preserve">. </w:t>
      </w:r>
      <w:r w:rsidR="006713D9" w:rsidRPr="00FC663D">
        <w:t>Tasfiye</w:t>
      </w:r>
      <w:r w:rsidR="00580AF4" w:rsidRPr="00FC663D">
        <w:t xml:space="preserve"> Olan</w:t>
      </w:r>
      <w:r w:rsidR="00E67598">
        <w:t xml:space="preserve"> </w:t>
      </w:r>
      <w:r w:rsidR="00580AF4" w:rsidRPr="00FC663D">
        <w:t>v</w:t>
      </w:r>
      <w:r w:rsidR="008B5C06" w:rsidRPr="00FC663D">
        <w:t xml:space="preserve">eya İtfa </w:t>
      </w:r>
      <w:r w:rsidR="006713D9" w:rsidRPr="00FC663D">
        <w:t>Edilen Fonla</w:t>
      </w:r>
      <w:r w:rsidR="00111170" w:rsidRPr="00FC663D">
        <w:t>r</w:t>
      </w:r>
      <w:r w:rsidR="00856E6D">
        <w:t xml:space="preserve"> (Değişiklik: 02.10.2015 tarih ve 27/1215 sayılı Kurul Kararı ile)</w:t>
      </w:r>
      <w:bookmarkEnd w:id="302"/>
      <w:bookmarkEnd w:id="303"/>
    </w:p>
    <w:p w:rsidR="0047660D" w:rsidRPr="00A701CD" w:rsidRDefault="00E82957" w:rsidP="00810AB9">
      <w:pPr>
        <w:spacing w:after="240" w:line="240" w:lineRule="auto"/>
        <w:ind w:right="-141" w:firstLine="709"/>
        <w:jc w:val="both"/>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 xml:space="preserve">Tasfiye </w:t>
      </w:r>
      <w:r w:rsidR="00580AF4">
        <w:rPr>
          <w:rFonts w:ascii="Times New Roman" w:hAnsi="Times New Roman" w:cs="Times New Roman"/>
          <w:color w:val="000000"/>
          <w:sz w:val="24"/>
          <w:szCs w:val="24"/>
          <w:lang w:eastAsia="tr-TR"/>
        </w:rPr>
        <w:t xml:space="preserve">olan </w:t>
      </w:r>
      <w:r w:rsidR="00C94E53">
        <w:rPr>
          <w:rFonts w:ascii="Times New Roman" w:hAnsi="Times New Roman" w:cs="Times New Roman"/>
          <w:color w:val="000000"/>
          <w:sz w:val="24"/>
          <w:szCs w:val="24"/>
          <w:lang w:eastAsia="tr-TR"/>
        </w:rPr>
        <w:t xml:space="preserve">veya yatırım dönemi sonunda itfa </w:t>
      </w:r>
      <w:r>
        <w:rPr>
          <w:rFonts w:ascii="Times New Roman" w:hAnsi="Times New Roman" w:cs="Times New Roman"/>
          <w:color w:val="000000"/>
          <w:sz w:val="24"/>
          <w:szCs w:val="24"/>
          <w:lang w:eastAsia="tr-TR"/>
        </w:rPr>
        <w:t>edile</w:t>
      </w:r>
      <w:r w:rsidR="0047660D" w:rsidRPr="0051763D">
        <w:rPr>
          <w:rFonts w:ascii="Times New Roman" w:hAnsi="Times New Roman" w:cs="Times New Roman"/>
          <w:color w:val="000000"/>
          <w:sz w:val="24"/>
          <w:szCs w:val="24"/>
          <w:lang w:eastAsia="tr-TR"/>
        </w:rPr>
        <w:t>n fonlarda;</w:t>
      </w:r>
    </w:p>
    <w:p w:rsidR="00422F68" w:rsidRPr="00A701CD" w:rsidRDefault="006713D9" w:rsidP="0006161B">
      <w:pPr>
        <w:pStyle w:val="ListParagraph"/>
        <w:numPr>
          <w:ilvl w:val="0"/>
          <w:numId w:val="2"/>
        </w:numPr>
        <w:spacing w:after="240" w:line="240" w:lineRule="auto"/>
        <w:jc w:val="both"/>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T</w:t>
      </w:r>
      <w:r w:rsidR="0047660D" w:rsidRPr="00A701CD">
        <w:rPr>
          <w:rFonts w:ascii="Times New Roman" w:hAnsi="Times New Roman" w:cs="Times New Roman"/>
          <w:color w:val="000000"/>
          <w:sz w:val="24"/>
          <w:szCs w:val="24"/>
          <w:lang w:eastAsia="tr-TR"/>
        </w:rPr>
        <w:t>oplam gider oranının tasfiyeye</w:t>
      </w:r>
      <w:r w:rsidR="00C94E53">
        <w:rPr>
          <w:rFonts w:ascii="Times New Roman" w:hAnsi="Times New Roman" w:cs="Times New Roman"/>
          <w:color w:val="000000"/>
          <w:sz w:val="24"/>
          <w:szCs w:val="24"/>
          <w:lang w:eastAsia="tr-TR"/>
        </w:rPr>
        <w:t>/itfaya</w:t>
      </w:r>
      <w:r w:rsidR="0047660D" w:rsidRPr="00A701CD">
        <w:rPr>
          <w:rFonts w:ascii="Times New Roman" w:hAnsi="Times New Roman" w:cs="Times New Roman"/>
          <w:color w:val="000000"/>
          <w:sz w:val="24"/>
          <w:szCs w:val="24"/>
          <w:lang w:eastAsia="tr-TR"/>
        </w:rPr>
        <w:t xml:space="preserve"> denk gelen 3 aylık dönemde aşıl</w:t>
      </w:r>
      <w:r>
        <w:rPr>
          <w:rFonts w:ascii="Times New Roman" w:hAnsi="Times New Roman" w:cs="Times New Roman"/>
          <w:color w:val="000000"/>
          <w:sz w:val="24"/>
          <w:szCs w:val="24"/>
          <w:lang w:eastAsia="tr-TR"/>
        </w:rPr>
        <w:t xml:space="preserve">ması halinde </w:t>
      </w:r>
      <w:r w:rsidR="00982AF3">
        <w:rPr>
          <w:rFonts w:ascii="Times New Roman" w:hAnsi="Times New Roman" w:cs="Times New Roman"/>
          <w:color w:val="000000"/>
          <w:sz w:val="24"/>
          <w:szCs w:val="24"/>
          <w:lang w:eastAsia="tr-TR"/>
        </w:rPr>
        <w:t xml:space="preserve">fona </w:t>
      </w:r>
      <w:r w:rsidR="00B42BBD">
        <w:rPr>
          <w:rFonts w:ascii="Times New Roman" w:hAnsi="Times New Roman" w:cs="Times New Roman"/>
          <w:color w:val="000000"/>
          <w:sz w:val="24"/>
          <w:szCs w:val="24"/>
          <w:lang w:eastAsia="tr-TR"/>
        </w:rPr>
        <w:t>iade edilecek</w:t>
      </w:r>
      <w:r w:rsidR="00280CD8">
        <w:rPr>
          <w:rFonts w:ascii="Times New Roman" w:hAnsi="Times New Roman" w:cs="Times New Roman"/>
          <w:color w:val="000000"/>
          <w:sz w:val="24"/>
          <w:szCs w:val="24"/>
          <w:lang w:eastAsia="tr-TR"/>
        </w:rPr>
        <w:t xml:space="preserve"> </w:t>
      </w:r>
      <w:r w:rsidR="00E82957">
        <w:rPr>
          <w:rFonts w:ascii="Times New Roman" w:hAnsi="Times New Roman" w:cs="Times New Roman"/>
          <w:color w:val="000000"/>
          <w:sz w:val="24"/>
          <w:szCs w:val="24"/>
          <w:lang w:eastAsia="tr-TR"/>
        </w:rPr>
        <w:t>tutar</w:t>
      </w:r>
      <w:r w:rsidR="0047660D" w:rsidRPr="00A701CD">
        <w:rPr>
          <w:rFonts w:ascii="Times New Roman" w:hAnsi="Times New Roman" w:cs="Times New Roman"/>
          <w:color w:val="000000"/>
          <w:sz w:val="24"/>
          <w:szCs w:val="24"/>
          <w:lang w:eastAsia="tr-TR"/>
        </w:rPr>
        <w:t xml:space="preserve">, </w:t>
      </w:r>
      <w:r w:rsidR="00E82957">
        <w:rPr>
          <w:rFonts w:ascii="Times New Roman" w:hAnsi="Times New Roman" w:cs="Times New Roman"/>
          <w:color w:val="000000"/>
          <w:sz w:val="24"/>
          <w:szCs w:val="24"/>
          <w:lang w:eastAsia="tr-TR"/>
        </w:rPr>
        <w:t>tasfiyeye</w:t>
      </w:r>
      <w:r w:rsidR="00C94E53">
        <w:rPr>
          <w:rFonts w:ascii="Times New Roman" w:hAnsi="Times New Roman" w:cs="Times New Roman"/>
          <w:color w:val="000000"/>
          <w:sz w:val="24"/>
          <w:szCs w:val="24"/>
          <w:lang w:eastAsia="tr-TR"/>
        </w:rPr>
        <w:t>/itfaya</w:t>
      </w:r>
      <w:r w:rsidR="00E82957">
        <w:rPr>
          <w:rFonts w:ascii="Times New Roman" w:hAnsi="Times New Roman" w:cs="Times New Roman"/>
          <w:color w:val="000000"/>
          <w:sz w:val="24"/>
          <w:szCs w:val="24"/>
          <w:lang w:eastAsia="tr-TR"/>
        </w:rPr>
        <w:t xml:space="preserve"> esas</w:t>
      </w:r>
      <w:r w:rsidR="0047660D" w:rsidRPr="00A701CD">
        <w:rPr>
          <w:rFonts w:ascii="Times New Roman" w:hAnsi="Times New Roman" w:cs="Times New Roman"/>
          <w:color w:val="000000"/>
          <w:sz w:val="24"/>
          <w:szCs w:val="24"/>
          <w:lang w:eastAsia="tr-TR"/>
        </w:rPr>
        <w:t xml:space="preserve"> birim pay değerinin he</w:t>
      </w:r>
      <w:r w:rsidR="00E82957">
        <w:rPr>
          <w:rFonts w:ascii="Times New Roman" w:hAnsi="Times New Roman" w:cs="Times New Roman"/>
          <w:color w:val="000000"/>
          <w:sz w:val="24"/>
          <w:szCs w:val="24"/>
          <w:lang w:eastAsia="tr-TR"/>
        </w:rPr>
        <w:t>saplan</w:t>
      </w:r>
      <w:r w:rsidR="00B42BBD">
        <w:rPr>
          <w:rFonts w:ascii="Times New Roman" w:hAnsi="Times New Roman" w:cs="Times New Roman"/>
          <w:color w:val="000000"/>
          <w:sz w:val="24"/>
          <w:szCs w:val="24"/>
          <w:lang w:eastAsia="tr-TR"/>
        </w:rPr>
        <w:t>masına d</w:t>
      </w:r>
      <w:r w:rsidR="00DB28C3">
        <w:rPr>
          <w:rFonts w:ascii="Times New Roman" w:hAnsi="Times New Roman" w:cs="Times New Roman"/>
          <w:color w:val="000000"/>
          <w:sz w:val="24"/>
          <w:szCs w:val="24"/>
          <w:lang w:eastAsia="tr-TR"/>
        </w:rPr>
        <w:t>ahil</w:t>
      </w:r>
      <w:r w:rsidR="00280CD8">
        <w:rPr>
          <w:rFonts w:ascii="Times New Roman" w:hAnsi="Times New Roman" w:cs="Times New Roman"/>
          <w:color w:val="000000"/>
          <w:sz w:val="24"/>
          <w:szCs w:val="24"/>
          <w:lang w:eastAsia="tr-TR"/>
        </w:rPr>
        <w:t xml:space="preserve"> </w:t>
      </w:r>
      <w:r w:rsidR="00DB28C3">
        <w:rPr>
          <w:rFonts w:ascii="Times New Roman" w:hAnsi="Times New Roman" w:cs="Times New Roman"/>
          <w:color w:val="000000"/>
          <w:sz w:val="24"/>
          <w:szCs w:val="24"/>
          <w:lang w:eastAsia="tr-TR"/>
        </w:rPr>
        <w:t>edilir</w:t>
      </w:r>
      <w:r w:rsidR="00280CD8">
        <w:rPr>
          <w:rFonts w:ascii="Times New Roman" w:hAnsi="Times New Roman" w:cs="Times New Roman"/>
          <w:color w:val="000000"/>
          <w:sz w:val="24"/>
          <w:szCs w:val="24"/>
          <w:lang w:eastAsia="tr-TR"/>
        </w:rPr>
        <w:t xml:space="preserve"> </w:t>
      </w:r>
      <w:r w:rsidR="00B42BBD">
        <w:rPr>
          <w:rFonts w:ascii="Times New Roman" w:hAnsi="Times New Roman" w:cs="Times New Roman"/>
          <w:color w:val="000000"/>
          <w:sz w:val="24"/>
          <w:szCs w:val="24"/>
          <w:lang w:eastAsia="tr-TR"/>
        </w:rPr>
        <w:t>ve</w:t>
      </w:r>
      <w:r w:rsidR="00280CD8">
        <w:rPr>
          <w:rFonts w:ascii="Times New Roman" w:hAnsi="Times New Roman" w:cs="Times New Roman"/>
          <w:color w:val="000000"/>
          <w:sz w:val="24"/>
          <w:szCs w:val="24"/>
          <w:lang w:eastAsia="tr-TR"/>
        </w:rPr>
        <w:t xml:space="preserve"> </w:t>
      </w:r>
      <w:r w:rsidR="00E82957" w:rsidRPr="00A701CD">
        <w:rPr>
          <w:rFonts w:ascii="Times New Roman" w:hAnsi="Times New Roman" w:cs="Times New Roman"/>
          <w:color w:val="000000"/>
          <w:sz w:val="24"/>
          <w:szCs w:val="24"/>
          <w:lang w:eastAsia="tr-TR"/>
        </w:rPr>
        <w:t>ilgili 3 aylık dönem</w:t>
      </w:r>
      <w:r w:rsidR="00E82957">
        <w:rPr>
          <w:rFonts w:ascii="Times New Roman" w:hAnsi="Times New Roman" w:cs="Times New Roman"/>
          <w:color w:val="000000"/>
          <w:sz w:val="24"/>
          <w:szCs w:val="24"/>
          <w:lang w:eastAsia="tr-TR"/>
        </w:rPr>
        <w:t xml:space="preserve">in bitimi beklenmeden </w:t>
      </w:r>
      <w:r w:rsidR="0047660D" w:rsidRPr="00A701CD">
        <w:rPr>
          <w:rFonts w:ascii="Times New Roman" w:hAnsi="Times New Roman" w:cs="Times New Roman"/>
          <w:color w:val="000000"/>
          <w:sz w:val="24"/>
          <w:szCs w:val="24"/>
          <w:lang w:eastAsia="tr-TR"/>
        </w:rPr>
        <w:t>muhasebeleştir</w:t>
      </w:r>
      <w:r>
        <w:rPr>
          <w:rFonts w:ascii="Times New Roman" w:hAnsi="Times New Roman" w:cs="Times New Roman"/>
          <w:color w:val="000000"/>
          <w:sz w:val="24"/>
          <w:szCs w:val="24"/>
          <w:lang w:eastAsia="tr-TR"/>
        </w:rPr>
        <w:t>ilir</w:t>
      </w:r>
      <w:r w:rsidR="00422F68" w:rsidRPr="009D534F">
        <w:rPr>
          <w:rFonts w:ascii="Times New Roman" w:hAnsi="Times New Roman" w:cs="Times New Roman"/>
          <w:color w:val="000000"/>
          <w:sz w:val="24"/>
          <w:szCs w:val="24"/>
          <w:lang w:eastAsia="tr-TR"/>
        </w:rPr>
        <w:t>.</w:t>
      </w:r>
    </w:p>
    <w:p w:rsidR="0047660D" w:rsidRPr="00A701CD" w:rsidRDefault="0047660D" w:rsidP="005845F8">
      <w:pPr>
        <w:pStyle w:val="ListParagraph"/>
        <w:spacing w:after="240" w:line="240" w:lineRule="auto"/>
        <w:ind w:left="1287"/>
        <w:jc w:val="both"/>
        <w:rPr>
          <w:rFonts w:ascii="Times New Roman" w:hAnsi="Times New Roman" w:cs="Times New Roman"/>
          <w:color w:val="000000"/>
          <w:sz w:val="24"/>
          <w:szCs w:val="24"/>
          <w:lang w:eastAsia="tr-TR"/>
        </w:rPr>
      </w:pPr>
    </w:p>
    <w:p w:rsidR="0047660D" w:rsidRDefault="0047660D" w:rsidP="0006161B">
      <w:pPr>
        <w:pStyle w:val="ListParagraph"/>
        <w:numPr>
          <w:ilvl w:val="0"/>
          <w:numId w:val="2"/>
        </w:numPr>
        <w:spacing w:after="240" w:line="240" w:lineRule="auto"/>
        <w:jc w:val="both"/>
        <w:rPr>
          <w:rFonts w:ascii="Times New Roman" w:hAnsi="Times New Roman" w:cs="Times New Roman"/>
          <w:color w:val="000000"/>
          <w:sz w:val="24"/>
          <w:szCs w:val="24"/>
          <w:lang w:eastAsia="tr-TR"/>
        </w:rPr>
      </w:pPr>
      <w:r w:rsidRPr="00A701CD">
        <w:rPr>
          <w:rFonts w:ascii="Times New Roman" w:hAnsi="Times New Roman" w:cs="Times New Roman"/>
          <w:color w:val="000000"/>
          <w:sz w:val="24"/>
          <w:szCs w:val="24"/>
          <w:lang w:eastAsia="tr-TR"/>
        </w:rPr>
        <w:t>Hesaplanan toplam gider oranı ve varsa iade tutarı, tasfiyenin bitimini takip eden 6 iş günü içinde KAP’ta ilan edi</w:t>
      </w:r>
      <w:r w:rsidR="00422F68" w:rsidRPr="009D534F">
        <w:rPr>
          <w:rFonts w:ascii="Times New Roman" w:hAnsi="Times New Roman" w:cs="Times New Roman"/>
          <w:color w:val="000000"/>
          <w:sz w:val="24"/>
          <w:szCs w:val="24"/>
          <w:lang w:eastAsia="tr-TR"/>
        </w:rPr>
        <w:t>lir.</w:t>
      </w:r>
    </w:p>
    <w:p w:rsidR="008B5C06" w:rsidRDefault="008B5C06" w:rsidP="00810AB9">
      <w:pPr>
        <w:pStyle w:val="BlockText"/>
        <w:spacing w:line="240" w:lineRule="auto"/>
        <w:ind w:left="0" w:right="0" w:firstLine="709"/>
        <w:rPr>
          <w:rFonts w:ascii="Times New Roman" w:hAnsi="Times New Roman"/>
          <w:bCs/>
        </w:rPr>
      </w:pPr>
      <w:r>
        <w:rPr>
          <w:rFonts w:ascii="Times New Roman" w:hAnsi="Times New Roman"/>
          <w:bCs/>
        </w:rPr>
        <w:t>Fon Tebliği’nin 28</w:t>
      </w:r>
      <w:r w:rsidR="00810AB9">
        <w:rPr>
          <w:rFonts w:ascii="Times New Roman" w:hAnsi="Times New Roman"/>
          <w:bCs/>
        </w:rPr>
        <w:t xml:space="preserve">’inci </w:t>
      </w:r>
      <w:r>
        <w:rPr>
          <w:rFonts w:ascii="Times New Roman" w:hAnsi="Times New Roman"/>
          <w:bCs/>
        </w:rPr>
        <w:t>maddesi çerçevesinde gerçekleştirilecek tasfiye işlemlerinde aşağıdaki hususlar dikkate alınır</w:t>
      </w:r>
      <w:r w:rsidR="00580AF4">
        <w:rPr>
          <w:rFonts w:ascii="Times New Roman" w:hAnsi="Times New Roman"/>
          <w:bCs/>
        </w:rPr>
        <w:t>:</w:t>
      </w:r>
    </w:p>
    <w:p w:rsidR="008B5C06" w:rsidRDefault="008B5C06" w:rsidP="005845F8">
      <w:pPr>
        <w:pStyle w:val="BlockText"/>
        <w:spacing w:line="240" w:lineRule="auto"/>
        <w:ind w:left="993" w:right="0" w:firstLine="0"/>
        <w:rPr>
          <w:rFonts w:ascii="Times New Roman" w:hAnsi="Times New Roman"/>
          <w:bCs/>
        </w:rPr>
      </w:pPr>
    </w:p>
    <w:p w:rsidR="008B5C06" w:rsidRDefault="008B5C06" w:rsidP="0006161B">
      <w:pPr>
        <w:pStyle w:val="BlockText"/>
        <w:numPr>
          <w:ilvl w:val="0"/>
          <w:numId w:val="42"/>
        </w:numPr>
        <w:tabs>
          <w:tab w:val="left" w:pos="1276"/>
        </w:tabs>
        <w:spacing w:line="240" w:lineRule="auto"/>
        <w:ind w:left="1276" w:right="0"/>
        <w:rPr>
          <w:rFonts w:ascii="Times New Roman" w:hAnsi="Times New Roman" w:cs="Times New Roman"/>
          <w:bCs/>
          <w:iCs/>
        </w:rPr>
      </w:pPr>
      <w:r w:rsidRPr="008B5C06">
        <w:rPr>
          <w:rFonts w:ascii="Times New Roman" w:hAnsi="Times New Roman" w:cs="Times New Roman"/>
          <w:bCs/>
        </w:rPr>
        <w:t>Tasfiye edilecek fonun tedavülde katılma payının bulunmaması ve tasfiye sürecinde, Kurucu</w:t>
      </w:r>
      <w:r w:rsidR="00580AF4">
        <w:rPr>
          <w:rFonts w:ascii="Times New Roman" w:hAnsi="Times New Roman" w:cs="Times New Roman"/>
          <w:bCs/>
        </w:rPr>
        <w:t xml:space="preserve"> tarafından,</w:t>
      </w:r>
      <w:r w:rsidRPr="008B5C06">
        <w:rPr>
          <w:rFonts w:ascii="Times New Roman" w:hAnsi="Times New Roman" w:cs="Times New Roman"/>
          <w:bCs/>
        </w:rPr>
        <w:t xml:space="preserve"> yeni fon katılma payı sat</w:t>
      </w:r>
      <w:r w:rsidR="00580AF4">
        <w:rPr>
          <w:rFonts w:ascii="Times New Roman" w:hAnsi="Times New Roman" w:cs="Times New Roman"/>
          <w:bCs/>
        </w:rPr>
        <w:t>ıl</w:t>
      </w:r>
      <w:r w:rsidRPr="008B5C06">
        <w:rPr>
          <w:rFonts w:ascii="Times New Roman" w:hAnsi="Times New Roman" w:cs="Times New Roman"/>
          <w:bCs/>
        </w:rPr>
        <w:t xml:space="preserve">mayacağına ilişkin </w:t>
      </w:r>
      <w:r w:rsidR="00580AF4">
        <w:rPr>
          <w:rFonts w:ascii="Times New Roman" w:hAnsi="Times New Roman" w:cs="Times New Roman"/>
          <w:bCs/>
        </w:rPr>
        <w:t xml:space="preserve">olarak </w:t>
      </w:r>
      <w:r w:rsidRPr="008B5C06">
        <w:rPr>
          <w:rFonts w:ascii="Times New Roman" w:hAnsi="Times New Roman" w:cs="Times New Roman"/>
          <w:bCs/>
        </w:rPr>
        <w:t>Kurula bir beyan gönder</w:t>
      </w:r>
      <w:r w:rsidR="00580AF4">
        <w:rPr>
          <w:rFonts w:ascii="Times New Roman" w:hAnsi="Times New Roman" w:cs="Times New Roman"/>
          <w:bCs/>
        </w:rPr>
        <w:t>il</w:t>
      </w:r>
      <w:r w:rsidRPr="008B5C06">
        <w:rPr>
          <w:rFonts w:ascii="Times New Roman" w:hAnsi="Times New Roman" w:cs="Times New Roman"/>
          <w:bCs/>
        </w:rPr>
        <w:t xml:space="preserve">mesi kaydıyla, Fon </w:t>
      </w:r>
      <w:r w:rsidRPr="008B5C06">
        <w:rPr>
          <w:rFonts w:ascii="Times New Roman" w:hAnsi="Times New Roman" w:cs="Times New Roman"/>
          <w:lang w:eastAsia="tr-TR"/>
        </w:rPr>
        <w:t xml:space="preserve">Tebliği’nin </w:t>
      </w:r>
      <w:r w:rsidRPr="008B5C06">
        <w:rPr>
          <w:rFonts w:ascii="Times New Roman" w:hAnsi="Times New Roman" w:cs="Times New Roman"/>
          <w:bCs/>
          <w:iCs/>
        </w:rPr>
        <w:t>28’inci maddesinin birinci fıkrasının (b) bendinde öngörülen 6 aylık süre beklenmeksizin tasfiye işlemlerine başlanabilir.</w:t>
      </w:r>
    </w:p>
    <w:p w:rsidR="00810AB9" w:rsidRPr="008B5C06" w:rsidRDefault="00810AB9" w:rsidP="00810AB9">
      <w:pPr>
        <w:pStyle w:val="BlockText"/>
        <w:tabs>
          <w:tab w:val="left" w:pos="1276"/>
        </w:tabs>
        <w:spacing w:line="240" w:lineRule="auto"/>
        <w:ind w:left="1276" w:right="0" w:firstLine="0"/>
        <w:rPr>
          <w:rFonts w:ascii="Times New Roman" w:hAnsi="Times New Roman" w:cs="Times New Roman"/>
          <w:bCs/>
          <w:iCs/>
        </w:rPr>
      </w:pPr>
    </w:p>
    <w:p w:rsidR="008B5C06" w:rsidRPr="008B5C06" w:rsidRDefault="008B5C06" w:rsidP="0006161B">
      <w:pPr>
        <w:pStyle w:val="ListParagraph"/>
        <w:numPr>
          <w:ilvl w:val="0"/>
          <w:numId w:val="42"/>
        </w:numPr>
        <w:spacing w:after="0" w:line="240" w:lineRule="auto"/>
        <w:ind w:left="1276"/>
        <w:contextualSpacing w:val="0"/>
        <w:jc w:val="both"/>
        <w:rPr>
          <w:rFonts w:ascii="Times New Roman" w:hAnsi="Times New Roman" w:cs="Times New Roman"/>
          <w:sz w:val="24"/>
          <w:lang w:eastAsia="tr-TR"/>
        </w:rPr>
      </w:pPr>
      <w:r w:rsidRPr="008B5C06">
        <w:rPr>
          <w:rFonts w:ascii="Times New Roman" w:hAnsi="Times New Roman" w:cs="Times New Roman"/>
          <w:sz w:val="24"/>
          <w:lang w:eastAsia="tr-TR"/>
        </w:rPr>
        <w:t>Fon Tebliği’nde öngörülen 6 aylık süre sonunda hal</w:t>
      </w:r>
      <w:r w:rsidR="00580AF4">
        <w:rPr>
          <w:rFonts w:ascii="Times New Roman" w:hAnsi="Times New Roman" w:cs="Times New Roman"/>
          <w:sz w:val="24"/>
          <w:lang w:eastAsia="tr-TR"/>
        </w:rPr>
        <w:t>en</w:t>
      </w:r>
      <w:r w:rsidRPr="008B5C06">
        <w:rPr>
          <w:rFonts w:ascii="Times New Roman" w:hAnsi="Times New Roman" w:cs="Times New Roman"/>
          <w:sz w:val="24"/>
          <w:lang w:eastAsia="tr-TR"/>
        </w:rPr>
        <w:t xml:space="preserve"> fona iade edilmemiş katılma paylarının bulunması halinde;</w:t>
      </w:r>
    </w:p>
    <w:p w:rsidR="008B5C06" w:rsidRPr="008B5C06" w:rsidRDefault="008B5C06" w:rsidP="0006161B">
      <w:pPr>
        <w:pStyle w:val="ListParagraph"/>
        <w:numPr>
          <w:ilvl w:val="2"/>
          <w:numId w:val="42"/>
        </w:numPr>
        <w:spacing w:after="0" w:line="240" w:lineRule="auto"/>
        <w:ind w:left="1985"/>
        <w:contextualSpacing w:val="0"/>
        <w:jc w:val="both"/>
        <w:rPr>
          <w:rFonts w:ascii="Times New Roman" w:hAnsi="Times New Roman" w:cs="Times New Roman"/>
          <w:sz w:val="24"/>
          <w:lang w:eastAsia="tr-TR"/>
        </w:rPr>
      </w:pPr>
      <w:r w:rsidRPr="008B5C06">
        <w:rPr>
          <w:rFonts w:ascii="Times New Roman" w:hAnsi="Times New Roman" w:cs="Times New Roman"/>
          <w:sz w:val="24"/>
          <w:lang w:eastAsia="tr-TR"/>
        </w:rPr>
        <w:t>Pay sahiplerinin satış talimatı beklenmeden pay satışlarının yapılması,</w:t>
      </w:r>
    </w:p>
    <w:p w:rsidR="008B5C06" w:rsidRDefault="00580AF4" w:rsidP="0006161B">
      <w:pPr>
        <w:pStyle w:val="ListParagraph"/>
        <w:numPr>
          <w:ilvl w:val="2"/>
          <w:numId w:val="42"/>
        </w:numPr>
        <w:spacing w:after="0" w:line="240" w:lineRule="auto"/>
        <w:ind w:left="1985"/>
        <w:contextualSpacing w:val="0"/>
        <w:jc w:val="both"/>
        <w:rPr>
          <w:rFonts w:ascii="Times New Roman" w:hAnsi="Times New Roman" w:cs="Times New Roman"/>
          <w:sz w:val="24"/>
          <w:lang w:eastAsia="tr-TR"/>
        </w:rPr>
      </w:pPr>
      <w:r w:rsidRPr="008B5C06">
        <w:rPr>
          <w:rFonts w:ascii="Times New Roman" w:hAnsi="Times New Roman" w:cs="Times New Roman"/>
          <w:sz w:val="24"/>
          <w:lang w:eastAsia="tr-TR"/>
        </w:rPr>
        <w:t>İcra ve İflas Kanunu’nun 89</w:t>
      </w:r>
      <w:r w:rsidR="00B873F6">
        <w:rPr>
          <w:rFonts w:ascii="Times New Roman" w:hAnsi="Times New Roman" w:cs="Times New Roman"/>
          <w:sz w:val="24"/>
          <w:lang w:eastAsia="tr-TR"/>
        </w:rPr>
        <w:t>’</w:t>
      </w:r>
      <w:r w:rsidRPr="008B5C06">
        <w:rPr>
          <w:rFonts w:ascii="Times New Roman" w:hAnsi="Times New Roman" w:cs="Times New Roman"/>
          <w:sz w:val="24"/>
          <w:lang w:eastAsia="tr-TR"/>
        </w:rPr>
        <w:t xml:space="preserve">uncu maddesi uyarınca </w:t>
      </w:r>
      <w:r w:rsidRPr="00C33D02">
        <w:rPr>
          <w:rFonts w:ascii="Times New Roman" w:hAnsi="Times New Roman" w:cs="Times New Roman"/>
          <w:sz w:val="24"/>
          <w:lang w:eastAsia="tr-TR"/>
        </w:rPr>
        <w:t>k</w:t>
      </w:r>
      <w:r w:rsidR="008B5C06" w:rsidRPr="00C33D02">
        <w:rPr>
          <w:rFonts w:ascii="Times New Roman" w:hAnsi="Times New Roman" w:cs="Times New Roman"/>
          <w:sz w:val="24"/>
          <w:lang w:eastAsia="tr-TR"/>
        </w:rPr>
        <w:t>atılma payları üzerinde haciz bulunması durumunda, söz konusu fonun tasfiye edilmesi neticesinde tasfiye bakiyesine terettüp edeceğinden</w:t>
      </w:r>
      <w:r w:rsidR="008B5C06" w:rsidRPr="008B5C06">
        <w:rPr>
          <w:rFonts w:ascii="Times New Roman" w:hAnsi="Times New Roman" w:cs="Times New Roman"/>
          <w:sz w:val="24"/>
          <w:lang w:eastAsia="tr-TR"/>
        </w:rPr>
        <w:t xml:space="preserve">, </w:t>
      </w:r>
      <w:r>
        <w:rPr>
          <w:rFonts w:ascii="Times New Roman" w:hAnsi="Times New Roman" w:cs="Times New Roman"/>
          <w:sz w:val="24"/>
          <w:lang w:eastAsia="tr-TR"/>
        </w:rPr>
        <w:t>hacizli katılma paylarına ilişkin</w:t>
      </w:r>
      <w:r w:rsidR="008B5C06" w:rsidRPr="008B5C06">
        <w:rPr>
          <w:rFonts w:ascii="Times New Roman" w:hAnsi="Times New Roman" w:cs="Times New Roman"/>
          <w:sz w:val="24"/>
          <w:lang w:eastAsia="tr-TR"/>
        </w:rPr>
        <w:t xml:space="preserve"> ödemelerinhaczi koyan icra dairelerine yapılması,</w:t>
      </w:r>
    </w:p>
    <w:p w:rsidR="00BE729F" w:rsidRDefault="00BE729F" w:rsidP="0006161B">
      <w:pPr>
        <w:pStyle w:val="ListParagraph"/>
        <w:numPr>
          <w:ilvl w:val="2"/>
          <w:numId w:val="42"/>
        </w:numPr>
        <w:spacing w:after="0" w:line="240" w:lineRule="auto"/>
        <w:ind w:left="1985"/>
        <w:contextualSpacing w:val="0"/>
        <w:jc w:val="both"/>
        <w:rPr>
          <w:rFonts w:ascii="Times New Roman" w:hAnsi="Times New Roman" w:cs="Times New Roman"/>
          <w:sz w:val="24"/>
          <w:lang w:eastAsia="tr-TR"/>
        </w:rPr>
      </w:pPr>
      <w:r w:rsidRPr="00BE729F">
        <w:rPr>
          <w:rFonts w:ascii="Times New Roman" w:hAnsi="Times New Roman" w:cs="Times New Roman"/>
          <w:sz w:val="24"/>
          <w:lang w:eastAsia="tr-TR"/>
        </w:rPr>
        <w:t xml:space="preserve">Fonların katılma paylarının alım satımına aracılık eden dağıtım kuruluşunun portföy yönetim şirketi olması halinde; pay sahiplerinin satış talimatı beklenmeden pay satışları yapılarak elde edilen tutarların, fon katılma paylarına ilişkin saklama hizmeti veren portföy saklayıcısı nezdindeki yatırımcı hesaplarında, portföy saklayıcısı tarafından ters repoda veya Kurulca uygun görülen diğer sermaye piyasası araçlarında nemalandırılması; buna ilaveten, sözkonusu yatırımcı bakiyesinin mevzuatta ve imzalanan portföy yönetim sözleşmesi veya fon katılma payı dağıtım ve pazarlama sözleşmesinde belirlenen esaslara göre, özen ve sadakat ilkeleri çerçevesinde yönetilmesi yükümlülüğünün takibi amacıyla, portföy saklayıcısı tarafından yatırımcı adına yapılmakta olan nemalandırılma işlemlerine ilişkin olarak düzenli aralıklarla kurucuya ve/veya fonların katılma paylarının alım satımına aracılık eden portföy yönetim şirketine bilgi verilmesi, </w:t>
      </w:r>
    </w:p>
    <w:p w:rsidR="00BE729F" w:rsidRDefault="00BE729F" w:rsidP="0006161B">
      <w:pPr>
        <w:pStyle w:val="ListParagraph"/>
        <w:numPr>
          <w:ilvl w:val="2"/>
          <w:numId w:val="42"/>
        </w:numPr>
        <w:spacing w:after="0" w:line="240" w:lineRule="auto"/>
        <w:ind w:left="1985"/>
        <w:contextualSpacing w:val="0"/>
        <w:jc w:val="both"/>
        <w:rPr>
          <w:rFonts w:ascii="Times New Roman" w:hAnsi="Times New Roman" w:cs="Times New Roman"/>
          <w:sz w:val="24"/>
          <w:lang w:eastAsia="tr-TR"/>
        </w:rPr>
      </w:pPr>
      <w:r w:rsidRPr="00BE729F">
        <w:rPr>
          <w:rFonts w:ascii="Times New Roman" w:hAnsi="Times New Roman" w:cs="Times New Roman"/>
          <w:sz w:val="24"/>
          <w:lang w:eastAsia="tr-TR"/>
        </w:rPr>
        <w:t xml:space="preserve">Fonların katılma paylarının alım satımına aracılık eden dağıtım kuruluşunun yatırım kuruluşu olması halinde ise; pay sahiplerinin satış talimatı beklenmeden pay satışları yapılarak elde edilen tutarların, fon katılma paylarının alım satımına aracılık hizmeti veren dağıtım kuruluşu nezdindeki yatırımcı hesaplarında, söz konusu yatırım kuruluşu tarafından ters repoda veya Kurulca uygun görülen diğer sermaye piyasası araçlarında nemalandırılması; sözkonusu yatırımcı bakiyesinin piyasa rayicine uygun olarak özen ve sadakat yükümlülüğü çerçevesinde nemalandırılmasının kontrolüne ilişkin sorumluluğun ilgili yatırımcının fon payı alım satım işlemlerine aracılık eden yatırım kuruluşunda olması, </w:t>
      </w:r>
    </w:p>
    <w:p w:rsidR="00BE729F" w:rsidRDefault="00BE729F" w:rsidP="0006161B">
      <w:pPr>
        <w:pStyle w:val="ListParagraph"/>
        <w:numPr>
          <w:ilvl w:val="2"/>
          <w:numId w:val="42"/>
        </w:numPr>
        <w:spacing w:after="0" w:line="240" w:lineRule="auto"/>
        <w:ind w:left="1985"/>
        <w:contextualSpacing w:val="0"/>
        <w:jc w:val="both"/>
        <w:rPr>
          <w:rFonts w:ascii="Times New Roman" w:hAnsi="Times New Roman" w:cs="Times New Roman"/>
          <w:sz w:val="24"/>
          <w:lang w:eastAsia="tr-TR"/>
        </w:rPr>
      </w:pPr>
      <w:r w:rsidRPr="00BE729F">
        <w:rPr>
          <w:rFonts w:ascii="Times New Roman" w:hAnsi="Times New Roman" w:cs="Times New Roman"/>
          <w:sz w:val="24"/>
          <w:lang w:eastAsia="tr-TR"/>
        </w:rPr>
        <w:t>Tasfiye edilen fonun katılım şemsiye fonu altında yer alan bir katılım fonu olması halinde, pay sahiplerinin satış talimatı beklenmeden pay satışları yapılarak elde edilen tutarların</w:t>
      </w:r>
    </w:p>
    <w:p w:rsidR="00BE729F" w:rsidRDefault="00BE729F" w:rsidP="00BE729F">
      <w:pPr>
        <w:pStyle w:val="ListParagraph"/>
        <w:spacing w:after="0" w:line="240" w:lineRule="auto"/>
        <w:ind w:left="1985"/>
        <w:contextualSpacing w:val="0"/>
        <w:jc w:val="both"/>
        <w:rPr>
          <w:rFonts w:ascii="Times New Roman" w:hAnsi="Times New Roman" w:cs="Times New Roman"/>
          <w:sz w:val="24"/>
          <w:lang w:eastAsia="tr-TR"/>
        </w:rPr>
      </w:pPr>
      <w:r>
        <w:rPr>
          <w:rFonts w:ascii="Times New Roman" w:hAnsi="Times New Roman" w:cs="Times New Roman"/>
          <w:sz w:val="24"/>
          <w:lang w:eastAsia="tr-TR"/>
        </w:rPr>
        <w:t>1</w:t>
      </w:r>
      <w:r w:rsidRPr="00BE729F">
        <w:rPr>
          <w:rFonts w:ascii="Times New Roman" w:hAnsi="Times New Roman" w:cs="Times New Roman"/>
          <w:sz w:val="24"/>
          <w:lang w:eastAsia="tr-TR"/>
        </w:rPr>
        <w:t xml:space="preserve">) Bir katılım şemsiye fonu altında yer alan, yatırımcı bilgi formunda açıklanan risk değeri üç veya daha düşük olan ve </w:t>
      </w:r>
    </w:p>
    <w:p w:rsidR="00BE729F" w:rsidRDefault="00BE729F" w:rsidP="00BE729F">
      <w:pPr>
        <w:pStyle w:val="ListParagraph"/>
        <w:spacing w:after="0" w:line="240" w:lineRule="auto"/>
        <w:ind w:left="1985"/>
        <w:contextualSpacing w:val="0"/>
        <w:jc w:val="both"/>
        <w:rPr>
          <w:rFonts w:ascii="Times New Roman" w:hAnsi="Times New Roman" w:cs="Times New Roman"/>
          <w:sz w:val="24"/>
          <w:lang w:eastAsia="tr-TR"/>
        </w:rPr>
      </w:pPr>
      <w:r w:rsidRPr="00BE729F">
        <w:rPr>
          <w:rFonts w:ascii="Times New Roman" w:hAnsi="Times New Roman" w:cs="Times New Roman"/>
          <w:sz w:val="24"/>
          <w:lang w:eastAsia="tr-TR"/>
        </w:rPr>
        <w:t xml:space="preserve">- Portföy yönetim şirketi müşterileri için kurucunun uygun göreceği başka bir katılım fonunda portföy saklayıcısı nezdindeki yatırımcı hesabında nemalandırılması, </w:t>
      </w:r>
    </w:p>
    <w:p w:rsidR="00BE729F" w:rsidRDefault="00BE729F" w:rsidP="00BE729F">
      <w:pPr>
        <w:pStyle w:val="ListParagraph"/>
        <w:spacing w:after="0" w:line="240" w:lineRule="auto"/>
        <w:ind w:left="1985"/>
        <w:contextualSpacing w:val="0"/>
        <w:jc w:val="both"/>
        <w:rPr>
          <w:rFonts w:ascii="Times New Roman" w:hAnsi="Times New Roman" w:cs="Times New Roman"/>
          <w:sz w:val="24"/>
          <w:lang w:eastAsia="tr-TR"/>
        </w:rPr>
      </w:pPr>
      <w:r w:rsidRPr="00BE729F">
        <w:rPr>
          <w:rFonts w:ascii="Times New Roman" w:hAnsi="Times New Roman" w:cs="Times New Roman"/>
          <w:sz w:val="24"/>
          <w:lang w:eastAsia="tr-TR"/>
        </w:rPr>
        <w:t xml:space="preserve">- Fonun katılma paylarının alım satımına aracılık eden dağıtım kuruluşunun yatırım kuruluşu olması halinde ise, yatırım kuruluşu nezdindeki yatırımcı hesabında yukarıda belirlenen esaslar çerçevesinde nemalandırılması veya </w:t>
      </w:r>
    </w:p>
    <w:p w:rsidR="00BE729F" w:rsidRDefault="00BE729F" w:rsidP="00BE729F">
      <w:pPr>
        <w:pStyle w:val="ListParagraph"/>
        <w:spacing w:after="0" w:line="240" w:lineRule="auto"/>
        <w:ind w:left="1985"/>
        <w:contextualSpacing w:val="0"/>
        <w:jc w:val="both"/>
        <w:rPr>
          <w:rFonts w:ascii="Times New Roman" w:hAnsi="Times New Roman" w:cs="Times New Roman"/>
          <w:sz w:val="24"/>
          <w:lang w:eastAsia="tr-TR"/>
        </w:rPr>
      </w:pPr>
      <w:r>
        <w:rPr>
          <w:rFonts w:ascii="Times New Roman" w:hAnsi="Times New Roman" w:cs="Times New Roman"/>
          <w:sz w:val="24"/>
          <w:lang w:eastAsia="tr-TR"/>
        </w:rPr>
        <w:t>2</w:t>
      </w:r>
      <w:r w:rsidRPr="00BE729F">
        <w:rPr>
          <w:rFonts w:ascii="Times New Roman" w:hAnsi="Times New Roman" w:cs="Times New Roman"/>
          <w:sz w:val="24"/>
          <w:lang w:eastAsia="tr-TR"/>
        </w:rPr>
        <w:t xml:space="preserve">) - Portföy yönetim şirketi müşterileri için portföy saklayıcısı nezdindeki yatırımcı hesabında Kurulca uygun görülen getirisi faize bağlı olmayan ve katılım bankacılığı esaslarına uygun diğer sermaye piyasası araçlarında nemalandırılması, </w:t>
      </w:r>
    </w:p>
    <w:p w:rsidR="00BE729F" w:rsidRDefault="00BE729F" w:rsidP="00BE729F">
      <w:pPr>
        <w:pStyle w:val="ListParagraph"/>
        <w:spacing w:after="0" w:line="240" w:lineRule="auto"/>
        <w:ind w:left="1985"/>
        <w:contextualSpacing w:val="0"/>
        <w:jc w:val="both"/>
        <w:rPr>
          <w:rFonts w:ascii="Times New Roman" w:hAnsi="Times New Roman" w:cs="Times New Roman"/>
          <w:sz w:val="24"/>
          <w:lang w:eastAsia="tr-TR"/>
        </w:rPr>
      </w:pPr>
      <w:r w:rsidRPr="00BE729F">
        <w:rPr>
          <w:rFonts w:ascii="Times New Roman" w:hAnsi="Times New Roman" w:cs="Times New Roman"/>
          <w:sz w:val="24"/>
          <w:lang w:eastAsia="tr-TR"/>
        </w:rPr>
        <w:t xml:space="preserve">- Fonun katılma paylarının alım satımına aracılık eden dağıtım kuruluşunun yatırım kuruluşu olması halinde ise, yatırım kuruluşu nezdindeki yatırımcı hesabında Kurulca uygun görülen getirisi faize bağlı olmayan ve katılım bankacılığı esaslarına uygun diğer sermaye piyasası araçlarında nemalandırılması </w:t>
      </w:r>
    </w:p>
    <w:p w:rsidR="00BE729F" w:rsidRDefault="007158C0" w:rsidP="00BE729F">
      <w:pPr>
        <w:pStyle w:val="ListParagraph"/>
        <w:spacing w:after="0" w:line="240" w:lineRule="auto"/>
        <w:ind w:left="1985"/>
        <w:contextualSpacing w:val="0"/>
        <w:jc w:val="both"/>
        <w:rPr>
          <w:rFonts w:ascii="Times New Roman" w:hAnsi="Times New Roman" w:cs="Times New Roman"/>
          <w:sz w:val="24"/>
          <w:lang w:eastAsia="tr-TR"/>
        </w:rPr>
      </w:pPr>
      <w:r>
        <w:rPr>
          <w:rFonts w:ascii="Times New Roman" w:hAnsi="Times New Roman" w:cs="Times New Roman"/>
          <w:sz w:val="24"/>
          <w:lang w:eastAsia="tr-TR"/>
        </w:rPr>
        <w:t>z</w:t>
      </w:r>
      <w:r w:rsidR="00BE729F" w:rsidRPr="00BE729F">
        <w:rPr>
          <w:rFonts w:ascii="Times New Roman" w:hAnsi="Times New Roman" w:cs="Times New Roman"/>
          <w:sz w:val="24"/>
          <w:lang w:eastAsia="tr-TR"/>
        </w:rPr>
        <w:t>orunludur</w:t>
      </w:r>
      <w:r w:rsidR="00BE729F">
        <w:rPr>
          <w:rFonts w:ascii="Times New Roman" w:hAnsi="Times New Roman" w:cs="Times New Roman"/>
          <w:sz w:val="24"/>
          <w:lang w:eastAsia="tr-TR"/>
        </w:rPr>
        <w:t>.</w:t>
      </w:r>
    </w:p>
    <w:p w:rsidR="00810AB9" w:rsidRPr="008B5C06" w:rsidRDefault="00810AB9" w:rsidP="00810AB9">
      <w:pPr>
        <w:pStyle w:val="ListParagraph"/>
        <w:spacing w:after="0" w:line="240" w:lineRule="auto"/>
        <w:ind w:left="1985"/>
        <w:contextualSpacing w:val="0"/>
        <w:jc w:val="both"/>
        <w:rPr>
          <w:rFonts w:ascii="Times New Roman" w:hAnsi="Times New Roman" w:cs="Times New Roman"/>
          <w:sz w:val="24"/>
          <w:lang w:eastAsia="tr-TR"/>
        </w:rPr>
      </w:pPr>
    </w:p>
    <w:p w:rsidR="008B5C06" w:rsidRDefault="00580AF4" w:rsidP="0006161B">
      <w:pPr>
        <w:pStyle w:val="BlockText"/>
        <w:numPr>
          <w:ilvl w:val="0"/>
          <w:numId w:val="42"/>
        </w:numPr>
        <w:tabs>
          <w:tab w:val="left" w:pos="993"/>
        </w:tabs>
        <w:spacing w:line="240" w:lineRule="auto"/>
        <w:ind w:left="1276" w:right="0"/>
        <w:rPr>
          <w:rFonts w:ascii="Times New Roman" w:hAnsi="Times New Roman" w:cs="Times New Roman"/>
          <w:bCs/>
          <w:iCs/>
        </w:rPr>
      </w:pPr>
      <w:r>
        <w:rPr>
          <w:rFonts w:ascii="Times New Roman" w:hAnsi="Times New Roman" w:cs="Times New Roman"/>
          <w:bCs/>
          <w:iCs/>
        </w:rPr>
        <w:t>İ</w:t>
      </w:r>
      <w:r w:rsidRPr="008B5C06">
        <w:rPr>
          <w:rFonts w:ascii="Times New Roman" w:hAnsi="Times New Roman" w:cs="Times New Roman"/>
          <w:bCs/>
          <w:iCs/>
        </w:rPr>
        <w:t xml:space="preserve">lgili </w:t>
      </w:r>
      <w:r w:rsidR="00810AB9">
        <w:rPr>
          <w:rFonts w:ascii="Times New Roman" w:hAnsi="Times New Roman" w:cs="Times New Roman"/>
          <w:bCs/>
          <w:iCs/>
        </w:rPr>
        <w:t>3</w:t>
      </w:r>
      <w:r w:rsidR="00B873F6">
        <w:rPr>
          <w:rFonts w:ascii="Times New Roman" w:hAnsi="Times New Roman" w:cs="Times New Roman"/>
          <w:bCs/>
          <w:iCs/>
        </w:rPr>
        <w:t xml:space="preserve"> </w:t>
      </w:r>
      <w:r w:rsidRPr="008B5C06">
        <w:rPr>
          <w:rFonts w:ascii="Times New Roman" w:hAnsi="Times New Roman" w:cs="Times New Roman"/>
          <w:bCs/>
          <w:iCs/>
        </w:rPr>
        <w:t xml:space="preserve">aylık dönemde fon fiyatı hesaplanan gün sayısının, aynı dönemdeki gün sayısına oranı dikkate alınarak </w:t>
      </w:r>
      <w:r>
        <w:rPr>
          <w:rFonts w:ascii="Times New Roman" w:hAnsi="Times New Roman" w:cs="Times New Roman"/>
          <w:bCs/>
          <w:iCs/>
        </w:rPr>
        <w:t>ve t</w:t>
      </w:r>
      <w:r w:rsidR="008B5C06" w:rsidRPr="008B5C06">
        <w:rPr>
          <w:rFonts w:ascii="Times New Roman" w:hAnsi="Times New Roman" w:cs="Times New Roman"/>
          <w:bCs/>
          <w:iCs/>
        </w:rPr>
        <w:t>asfiye aşamasında fon fiyatının açıklandığı son değerleme tarihindeki fon toplam değeri üzerinden hesaplanacak Kurul ücreti</w:t>
      </w:r>
      <w:r w:rsidR="00B873F6">
        <w:rPr>
          <w:rFonts w:ascii="Times New Roman" w:hAnsi="Times New Roman" w:cs="Times New Roman"/>
          <w:bCs/>
          <w:iCs/>
        </w:rPr>
        <w:t xml:space="preserve"> </w:t>
      </w:r>
      <w:r w:rsidR="008B5C06" w:rsidRPr="008B5C06">
        <w:rPr>
          <w:rFonts w:ascii="Times New Roman" w:hAnsi="Times New Roman" w:cs="Times New Roman"/>
          <w:bCs/>
          <w:iCs/>
        </w:rPr>
        <w:t>Kurul özel hesabına yatırılır.</w:t>
      </w:r>
    </w:p>
    <w:p w:rsidR="00810AB9" w:rsidRPr="008B5C06" w:rsidRDefault="00810AB9" w:rsidP="00810AB9">
      <w:pPr>
        <w:pStyle w:val="BlockText"/>
        <w:tabs>
          <w:tab w:val="left" w:pos="993"/>
        </w:tabs>
        <w:spacing w:line="240" w:lineRule="auto"/>
        <w:ind w:left="1276" w:right="0" w:firstLine="0"/>
        <w:rPr>
          <w:rFonts w:ascii="Times New Roman" w:hAnsi="Times New Roman" w:cs="Times New Roman"/>
          <w:bCs/>
          <w:iCs/>
        </w:rPr>
      </w:pPr>
    </w:p>
    <w:p w:rsidR="00E903DE" w:rsidRDefault="008B5C06" w:rsidP="009C701E">
      <w:pPr>
        <w:pStyle w:val="ListParagraph"/>
        <w:numPr>
          <w:ilvl w:val="0"/>
          <w:numId w:val="42"/>
        </w:numPr>
        <w:tabs>
          <w:tab w:val="left" w:pos="993"/>
        </w:tabs>
        <w:spacing w:after="0" w:line="240" w:lineRule="auto"/>
        <w:ind w:left="1276"/>
        <w:contextualSpacing w:val="0"/>
        <w:jc w:val="both"/>
        <w:rPr>
          <w:rFonts w:ascii="Times New Roman" w:hAnsi="Times New Roman" w:cs="Times New Roman"/>
          <w:sz w:val="24"/>
          <w:lang w:eastAsia="tr-TR"/>
        </w:rPr>
      </w:pPr>
      <w:r w:rsidRPr="00E903DE">
        <w:rPr>
          <w:rFonts w:ascii="Times New Roman" w:hAnsi="Times New Roman" w:cs="Times New Roman"/>
          <w:sz w:val="24"/>
          <w:lang w:eastAsia="tr-TR"/>
        </w:rPr>
        <w:t>Kurucunun tasfiye tarihi itibariyle,</w:t>
      </w:r>
      <w:r w:rsidR="00BA4656" w:rsidRPr="00E903DE">
        <w:rPr>
          <w:rFonts w:ascii="Times New Roman" w:hAnsi="Times New Roman" w:cs="Times New Roman"/>
          <w:sz w:val="24"/>
          <w:lang w:eastAsia="tr-TR"/>
        </w:rPr>
        <w:t xml:space="preserve"> </w:t>
      </w:r>
      <w:r w:rsidR="00B873F6" w:rsidRPr="00E903DE">
        <w:rPr>
          <w:rFonts w:ascii="Times New Roman" w:hAnsi="Times New Roman" w:cs="Times New Roman"/>
          <w:sz w:val="24"/>
          <w:lang w:eastAsia="tr-TR"/>
        </w:rPr>
        <w:t xml:space="preserve">Kanun’un </w:t>
      </w:r>
      <w:r w:rsidRPr="00E903DE">
        <w:rPr>
          <w:rFonts w:ascii="Times New Roman" w:hAnsi="Times New Roman" w:cs="Times New Roman"/>
          <w:sz w:val="24"/>
          <w:lang w:eastAsia="tr-TR"/>
        </w:rPr>
        <w:t>83’üncü maddesinin dördüncü fıkrası hükmü uyarınca tasfiye tarihinden itibaren yatırımcılar adına açılacak hesaplarda muhafaza edilen ve nemalandırılan tutarlar</w:t>
      </w:r>
      <w:r w:rsidR="00962990" w:rsidRPr="00E903DE">
        <w:rPr>
          <w:rFonts w:ascii="Times New Roman" w:hAnsi="Times New Roman" w:cs="Times New Roman"/>
          <w:sz w:val="24"/>
          <w:lang w:eastAsia="tr-TR"/>
        </w:rPr>
        <w:t>,</w:t>
      </w:r>
      <w:r w:rsidR="00580AF4" w:rsidRPr="00E903DE">
        <w:rPr>
          <w:rFonts w:ascii="Times New Roman" w:hAnsi="Times New Roman" w:cs="Times New Roman"/>
          <w:sz w:val="24"/>
          <w:lang w:eastAsia="tr-TR"/>
        </w:rPr>
        <w:t>10</w:t>
      </w:r>
      <w:r w:rsidRPr="00E903DE">
        <w:rPr>
          <w:rFonts w:ascii="Times New Roman" w:hAnsi="Times New Roman" w:cs="Times New Roman"/>
          <w:sz w:val="24"/>
          <w:lang w:eastAsia="tr-TR"/>
        </w:rPr>
        <w:t>yıl içinde talep edilmemesi halinde YTM</w:t>
      </w:r>
      <w:r w:rsidR="004A4196" w:rsidRPr="00E903DE">
        <w:rPr>
          <w:rFonts w:ascii="Times New Roman" w:hAnsi="Times New Roman" w:cs="Times New Roman"/>
          <w:sz w:val="24"/>
          <w:lang w:eastAsia="tr-TR"/>
        </w:rPr>
        <w:t>’ye</w:t>
      </w:r>
      <w:r w:rsidRPr="00E903DE">
        <w:rPr>
          <w:rFonts w:ascii="Times New Roman" w:hAnsi="Times New Roman" w:cs="Times New Roman"/>
          <w:sz w:val="24"/>
          <w:lang w:eastAsia="tr-TR"/>
        </w:rPr>
        <w:t xml:space="preserve"> gelir kaydedilir ve tasfiye ile ilgili olarak Kurucu tarafından YTM’ye bilgi verilir.</w:t>
      </w:r>
    </w:p>
    <w:p w:rsidR="00E903DE" w:rsidRDefault="00E903DE" w:rsidP="00E903DE">
      <w:pPr>
        <w:pStyle w:val="ListParagraph"/>
        <w:tabs>
          <w:tab w:val="left" w:pos="993"/>
        </w:tabs>
        <w:spacing w:after="0" w:line="240" w:lineRule="auto"/>
        <w:ind w:left="1276"/>
        <w:contextualSpacing w:val="0"/>
        <w:jc w:val="both"/>
        <w:rPr>
          <w:rFonts w:ascii="Times New Roman" w:hAnsi="Times New Roman" w:cs="Times New Roman"/>
          <w:sz w:val="24"/>
          <w:lang w:eastAsia="tr-TR"/>
        </w:rPr>
      </w:pPr>
    </w:p>
    <w:p w:rsidR="00E903DE" w:rsidRPr="00E903DE" w:rsidRDefault="00E903DE" w:rsidP="009C701E">
      <w:pPr>
        <w:pStyle w:val="ListParagraph"/>
        <w:numPr>
          <w:ilvl w:val="0"/>
          <w:numId w:val="42"/>
        </w:numPr>
        <w:tabs>
          <w:tab w:val="left" w:pos="993"/>
        </w:tabs>
        <w:spacing w:after="0" w:line="240" w:lineRule="auto"/>
        <w:ind w:left="1276"/>
        <w:contextualSpacing w:val="0"/>
        <w:jc w:val="both"/>
        <w:rPr>
          <w:rFonts w:ascii="Times New Roman" w:hAnsi="Times New Roman" w:cs="Times New Roman"/>
          <w:sz w:val="24"/>
          <w:lang w:eastAsia="tr-TR"/>
        </w:rPr>
      </w:pPr>
      <w:r w:rsidRPr="00E903DE">
        <w:rPr>
          <w:rFonts w:ascii="Times New Roman" w:hAnsi="Times New Roman" w:cs="Times New Roman"/>
          <w:sz w:val="24"/>
          <w:lang w:eastAsia="tr-TR"/>
        </w:rPr>
        <w:t>Tasfiye edilecek fonların TEFAS’ta işlem görüyor olması halinde; fon tasfiyesine ilişkin olarak üyelerine duyuru yapılması ve Kanun’un 83 üncü maddesinin dördüncü fıkrası hükmü uyarınca tasfiye tarihinden itibaren yatırımcılar adına açılacak hesaplarda muhafaza edilen ve nemalandırılan tutarların, 10 yıl içinde talep edilmemesi halinde YTM’ye gelir kaydedileceği hususunun dağıtım kuruluşlarına bildirilmesi amacıyla, kurucu tarafından Türkiye Sermaye Piyasaları Birliği’ne ve Takasbank’a bilgi verilmesi gerekir.</w:t>
      </w:r>
    </w:p>
    <w:p w:rsidR="00925E01" w:rsidRPr="008B5C06" w:rsidRDefault="00925E01" w:rsidP="00925E01">
      <w:pPr>
        <w:pStyle w:val="ListParagraph"/>
        <w:tabs>
          <w:tab w:val="left" w:pos="993"/>
        </w:tabs>
        <w:spacing w:after="0" w:line="240" w:lineRule="auto"/>
        <w:ind w:left="1276"/>
        <w:contextualSpacing w:val="0"/>
        <w:jc w:val="both"/>
        <w:rPr>
          <w:rFonts w:ascii="Times New Roman" w:hAnsi="Times New Roman" w:cs="Times New Roman"/>
          <w:sz w:val="24"/>
          <w:lang w:eastAsia="tr-TR"/>
        </w:rPr>
      </w:pPr>
    </w:p>
    <w:p w:rsidR="008B5C06" w:rsidRPr="00810AB9" w:rsidRDefault="008B5C06" w:rsidP="0006161B">
      <w:pPr>
        <w:pStyle w:val="ListParagraph"/>
        <w:numPr>
          <w:ilvl w:val="0"/>
          <w:numId w:val="42"/>
        </w:numPr>
        <w:tabs>
          <w:tab w:val="left" w:pos="993"/>
        </w:tabs>
        <w:spacing w:after="0" w:line="240" w:lineRule="auto"/>
        <w:ind w:left="1276"/>
        <w:contextualSpacing w:val="0"/>
        <w:jc w:val="both"/>
        <w:rPr>
          <w:rFonts w:ascii="Times New Roman" w:hAnsi="Times New Roman" w:cs="Times New Roman"/>
          <w:sz w:val="24"/>
          <w:lang w:eastAsia="tr-TR"/>
        </w:rPr>
      </w:pPr>
      <w:r w:rsidRPr="008B5C06">
        <w:rPr>
          <w:rFonts w:ascii="Times New Roman" w:hAnsi="Times New Roman" w:cs="Times New Roman"/>
          <w:bCs/>
          <w:iCs/>
          <w:sz w:val="24"/>
        </w:rPr>
        <w:t>Tasfiye süreci</w:t>
      </w:r>
      <w:r w:rsidR="001C0B51">
        <w:rPr>
          <w:rFonts w:ascii="Times New Roman" w:hAnsi="Times New Roman" w:cs="Times New Roman"/>
          <w:bCs/>
          <w:iCs/>
          <w:sz w:val="24"/>
        </w:rPr>
        <w:t xml:space="preserve"> ile</w:t>
      </w:r>
      <w:r w:rsidRPr="008B5C06">
        <w:rPr>
          <w:rFonts w:ascii="Times New Roman" w:hAnsi="Times New Roman" w:cs="Times New Roman"/>
          <w:bCs/>
          <w:iCs/>
          <w:sz w:val="24"/>
        </w:rPr>
        <w:t xml:space="preserve"> ilgili olarak;</w:t>
      </w:r>
    </w:p>
    <w:p w:rsidR="00810AB9" w:rsidRPr="008B5C06" w:rsidRDefault="00810AB9" w:rsidP="00810AB9">
      <w:pPr>
        <w:pStyle w:val="ListParagraph"/>
        <w:tabs>
          <w:tab w:val="left" w:pos="993"/>
        </w:tabs>
        <w:spacing w:after="0" w:line="240" w:lineRule="auto"/>
        <w:ind w:left="1276"/>
        <w:contextualSpacing w:val="0"/>
        <w:jc w:val="both"/>
        <w:rPr>
          <w:rFonts w:ascii="Times New Roman" w:hAnsi="Times New Roman" w:cs="Times New Roman"/>
          <w:sz w:val="24"/>
          <w:lang w:eastAsia="tr-TR"/>
        </w:rPr>
      </w:pPr>
    </w:p>
    <w:p w:rsidR="008B5C06" w:rsidRPr="008B5C06" w:rsidRDefault="008B5C06" w:rsidP="0006161B">
      <w:pPr>
        <w:pStyle w:val="ListParagraph"/>
        <w:numPr>
          <w:ilvl w:val="1"/>
          <w:numId w:val="42"/>
        </w:numPr>
        <w:tabs>
          <w:tab w:val="left" w:pos="993"/>
        </w:tabs>
        <w:spacing w:after="0" w:line="240" w:lineRule="auto"/>
        <w:ind w:left="1985"/>
        <w:contextualSpacing w:val="0"/>
        <w:jc w:val="both"/>
        <w:rPr>
          <w:rFonts w:ascii="Times New Roman" w:hAnsi="Times New Roman" w:cs="Times New Roman"/>
          <w:sz w:val="24"/>
          <w:lang w:eastAsia="tr-TR"/>
        </w:rPr>
      </w:pPr>
      <w:r w:rsidRPr="008B5C06">
        <w:rPr>
          <w:rFonts w:ascii="Times New Roman" w:hAnsi="Times New Roman" w:cs="Times New Roman"/>
          <w:bCs/>
          <w:iCs/>
          <w:sz w:val="24"/>
        </w:rPr>
        <w:t xml:space="preserve">Yatırımcılara duyuru metninin Kurulun izin yazısını takip eden 6 iş günü içinde KAP’ta ilan </w:t>
      </w:r>
      <w:r w:rsidR="000D7A81">
        <w:rPr>
          <w:rFonts w:ascii="Times New Roman" w:hAnsi="Times New Roman" w:cs="Times New Roman"/>
          <w:bCs/>
          <w:iCs/>
          <w:sz w:val="24"/>
        </w:rPr>
        <w:t>edilmesi</w:t>
      </w:r>
      <w:r w:rsidRPr="008B5C06">
        <w:rPr>
          <w:rFonts w:ascii="Times New Roman" w:hAnsi="Times New Roman" w:cs="Times New Roman"/>
          <w:bCs/>
          <w:iCs/>
          <w:sz w:val="24"/>
        </w:rPr>
        <w:t xml:space="preserve">, </w:t>
      </w:r>
    </w:p>
    <w:p w:rsidR="008B5C06" w:rsidRPr="002912D3" w:rsidRDefault="008B5C06" w:rsidP="0006161B">
      <w:pPr>
        <w:pStyle w:val="ListParagraph"/>
        <w:numPr>
          <w:ilvl w:val="1"/>
          <w:numId w:val="42"/>
        </w:numPr>
        <w:tabs>
          <w:tab w:val="left" w:pos="993"/>
        </w:tabs>
        <w:spacing w:after="0" w:line="240" w:lineRule="auto"/>
        <w:ind w:left="1985"/>
        <w:contextualSpacing w:val="0"/>
        <w:jc w:val="both"/>
        <w:rPr>
          <w:rFonts w:ascii="Times New Roman" w:hAnsi="Times New Roman" w:cs="Times New Roman"/>
          <w:sz w:val="24"/>
          <w:lang w:eastAsia="tr-TR"/>
        </w:rPr>
      </w:pPr>
      <w:r w:rsidRPr="008B5C06">
        <w:rPr>
          <w:rFonts w:ascii="Times New Roman" w:hAnsi="Times New Roman" w:cs="Times New Roman"/>
          <w:bCs/>
          <w:iCs/>
          <w:sz w:val="24"/>
        </w:rPr>
        <w:t xml:space="preserve">Duyuru metninde, duyuru tarihinden itibaren geçecek 6 aylık sürenin </w:t>
      </w:r>
      <w:r w:rsidRPr="002912D3">
        <w:rPr>
          <w:rFonts w:ascii="Times New Roman" w:hAnsi="Times New Roman" w:cs="Times New Roman"/>
          <w:bCs/>
          <w:iCs/>
          <w:sz w:val="24"/>
        </w:rPr>
        <w:t>bitimini izleyen ilk iş gününde fonun tasfiye edileceğinin belirtilmesi,</w:t>
      </w:r>
    </w:p>
    <w:p w:rsidR="008B5C06" w:rsidRPr="002912D3" w:rsidRDefault="008B5C06" w:rsidP="0006161B">
      <w:pPr>
        <w:pStyle w:val="ListParagraph"/>
        <w:numPr>
          <w:ilvl w:val="1"/>
          <w:numId w:val="42"/>
        </w:numPr>
        <w:tabs>
          <w:tab w:val="left" w:pos="993"/>
        </w:tabs>
        <w:spacing w:after="0" w:line="240" w:lineRule="auto"/>
        <w:ind w:left="1985"/>
        <w:contextualSpacing w:val="0"/>
        <w:jc w:val="both"/>
        <w:rPr>
          <w:rFonts w:ascii="Times New Roman" w:hAnsi="Times New Roman" w:cs="Times New Roman"/>
          <w:sz w:val="24"/>
          <w:lang w:eastAsia="tr-TR"/>
        </w:rPr>
      </w:pPr>
      <w:r w:rsidRPr="002912D3">
        <w:rPr>
          <w:rFonts w:ascii="Times New Roman" w:hAnsi="Times New Roman" w:cs="Times New Roman"/>
          <w:bCs/>
          <w:iCs/>
          <w:sz w:val="24"/>
        </w:rPr>
        <w:t xml:space="preserve">6 aylık sürenin bitimini takip eden ilk iş günü ilgisine göre </w:t>
      </w:r>
      <w:r w:rsidR="002912D3" w:rsidRPr="002912D3">
        <w:rPr>
          <w:rFonts w:ascii="Times New Roman" w:hAnsi="Times New Roman" w:cs="Times New Roman"/>
          <w:bCs/>
          <w:iCs/>
          <w:sz w:val="24"/>
        </w:rPr>
        <w:t>fon izahnamesinin nerede yayımlandığı hususunun</w:t>
      </w:r>
      <w:r w:rsidR="00BA4656">
        <w:rPr>
          <w:rFonts w:ascii="Times New Roman" w:hAnsi="Times New Roman" w:cs="Times New Roman"/>
          <w:bCs/>
          <w:iCs/>
          <w:sz w:val="24"/>
        </w:rPr>
        <w:t xml:space="preserve"> </w:t>
      </w:r>
      <w:r w:rsidR="002912D3" w:rsidRPr="002912D3">
        <w:rPr>
          <w:rFonts w:ascii="Times New Roman" w:hAnsi="Times New Roman" w:cs="Times New Roman"/>
          <w:bCs/>
          <w:iCs/>
          <w:sz w:val="24"/>
        </w:rPr>
        <w:t xml:space="preserve">ve/veya </w:t>
      </w:r>
      <w:r w:rsidRPr="002912D3">
        <w:rPr>
          <w:rFonts w:ascii="Times New Roman" w:hAnsi="Times New Roman" w:cs="Times New Roman"/>
          <w:bCs/>
          <w:iCs/>
          <w:sz w:val="24"/>
        </w:rPr>
        <w:t>şemsiye fon içtüzüğünün ticaret sicilinden terkin ettirilmesi, içtüzük terkininin TTSG’de ilan edilmesi ve TTSG’nin ilanı takip eden 6 işgünü içinde Kurula gönderilmesi,</w:t>
      </w:r>
    </w:p>
    <w:p w:rsidR="008B5C06" w:rsidRPr="008B5C06" w:rsidRDefault="008B5C06" w:rsidP="0006161B">
      <w:pPr>
        <w:pStyle w:val="ListParagraph"/>
        <w:numPr>
          <w:ilvl w:val="1"/>
          <w:numId w:val="42"/>
        </w:numPr>
        <w:tabs>
          <w:tab w:val="left" w:pos="993"/>
        </w:tabs>
        <w:spacing w:line="240" w:lineRule="auto"/>
        <w:ind w:left="1985"/>
        <w:contextualSpacing w:val="0"/>
        <w:jc w:val="both"/>
        <w:rPr>
          <w:rFonts w:ascii="Times New Roman" w:hAnsi="Times New Roman" w:cs="Times New Roman"/>
          <w:sz w:val="24"/>
          <w:lang w:eastAsia="tr-TR"/>
        </w:rPr>
      </w:pPr>
      <w:r w:rsidRPr="008B5C06">
        <w:rPr>
          <w:rFonts w:ascii="Times New Roman" w:hAnsi="Times New Roman" w:cs="Times New Roman"/>
          <w:bCs/>
          <w:iCs/>
          <w:sz w:val="24"/>
        </w:rPr>
        <w:t>Tasfiye nedeniyle yapılan tüm harcamaların fon portföyünden karşılanmadan Kurucu tarafından üstlenilmesi</w:t>
      </w:r>
    </w:p>
    <w:p w:rsidR="008B5C06" w:rsidRPr="00810AB9" w:rsidRDefault="008B5C06" w:rsidP="00810AB9">
      <w:pPr>
        <w:autoSpaceDE w:val="0"/>
        <w:autoSpaceDN w:val="0"/>
        <w:adjustRightInd w:val="0"/>
        <w:ind w:left="1625"/>
        <w:jc w:val="both"/>
        <w:rPr>
          <w:rFonts w:ascii="Times New Roman" w:hAnsi="Times New Roman" w:cs="Times New Roman"/>
          <w:bCs/>
          <w:iCs/>
          <w:sz w:val="24"/>
        </w:rPr>
      </w:pPr>
      <w:r w:rsidRPr="00810AB9">
        <w:rPr>
          <w:rFonts w:ascii="Times New Roman" w:hAnsi="Times New Roman" w:cs="Times New Roman"/>
          <w:bCs/>
          <w:iCs/>
          <w:sz w:val="24"/>
        </w:rPr>
        <w:t>gerekir.</w:t>
      </w:r>
    </w:p>
    <w:p w:rsidR="008B5C06" w:rsidRPr="008B5C06" w:rsidRDefault="008B5C06" w:rsidP="0006161B">
      <w:pPr>
        <w:pStyle w:val="ListParagraph"/>
        <w:numPr>
          <w:ilvl w:val="0"/>
          <w:numId w:val="42"/>
        </w:numPr>
        <w:spacing w:after="0" w:line="240" w:lineRule="auto"/>
        <w:ind w:left="1276"/>
        <w:contextualSpacing w:val="0"/>
        <w:jc w:val="both"/>
        <w:rPr>
          <w:rFonts w:ascii="Times New Roman" w:hAnsi="Times New Roman" w:cs="Times New Roman"/>
          <w:bCs/>
          <w:iCs/>
          <w:sz w:val="24"/>
        </w:rPr>
      </w:pPr>
      <w:r w:rsidRPr="008B5C06">
        <w:rPr>
          <w:rFonts w:ascii="Times New Roman" w:hAnsi="Times New Roman" w:cs="Times New Roman"/>
          <w:bCs/>
          <w:iCs/>
          <w:sz w:val="24"/>
        </w:rPr>
        <w:t>Fonların tasfiye tarihi itibarıyla (Fon fiyatının açıklandığı son değerleme tarihi) finansal tabloların özel bağımsız denetime tabi tutulması ve söz konusu</w:t>
      </w:r>
      <w:r w:rsidR="00757F0B">
        <w:rPr>
          <w:rFonts w:ascii="Times New Roman" w:hAnsi="Times New Roman" w:cs="Times New Roman"/>
          <w:bCs/>
          <w:iCs/>
          <w:sz w:val="24"/>
        </w:rPr>
        <w:t xml:space="preserve"> finansal</w:t>
      </w:r>
      <w:r w:rsidRPr="008B5C06">
        <w:rPr>
          <w:rFonts w:ascii="Times New Roman" w:hAnsi="Times New Roman" w:cs="Times New Roman"/>
          <w:bCs/>
          <w:iCs/>
          <w:sz w:val="24"/>
        </w:rPr>
        <w:t xml:space="preserve"> raporların Kurula iletilmesi gerekir.</w:t>
      </w:r>
    </w:p>
    <w:p w:rsidR="00B32295" w:rsidRDefault="00B32295" w:rsidP="00785726">
      <w:pPr>
        <w:spacing w:after="240" w:line="240" w:lineRule="auto"/>
        <w:ind w:right="-141"/>
        <w:jc w:val="both"/>
        <w:rPr>
          <w:rFonts w:ascii="Times New Roman" w:hAnsi="Times New Roman" w:cs="Times New Roman"/>
          <w:color w:val="000000"/>
          <w:sz w:val="24"/>
          <w:szCs w:val="24"/>
          <w:lang w:eastAsia="tr-TR"/>
        </w:rPr>
      </w:pPr>
    </w:p>
    <w:p w:rsidR="00686430" w:rsidRDefault="009C6AEB" w:rsidP="00810AB9">
      <w:pPr>
        <w:pStyle w:val="Heading1"/>
        <w:spacing w:after="240"/>
        <w:rPr>
          <w:lang w:eastAsia="tr-TR"/>
        </w:rPr>
      </w:pPr>
      <w:bookmarkStart w:id="304" w:name="_Toc130312633"/>
      <w:bookmarkStart w:id="305" w:name="_Toc130312766"/>
      <w:r w:rsidRPr="009C6AEB">
        <w:rPr>
          <w:lang w:eastAsia="tr-TR"/>
        </w:rPr>
        <w:t>1</w:t>
      </w:r>
      <w:r w:rsidR="000C6C1D">
        <w:rPr>
          <w:lang w:eastAsia="tr-TR"/>
        </w:rPr>
        <w:t>2</w:t>
      </w:r>
      <w:r w:rsidRPr="009C6AEB">
        <w:rPr>
          <w:lang w:eastAsia="tr-TR"/>
        </w:rPr>
        <w:t>. Diğer Esaslar</w:t>
      </w:r>
      <w:bookmarkEnd w:id="304"/>
      <w:bookmarkEnd w:id="305"/>
    </w:p>
    <w:p w:rsidR="0030254A" w:rsidRPr="0030254A" w:rsidRDefault="000C6C1D" w:rsidP="00810AB9">
      <w:pPr>
        <w:pStyle w:val="Heading2"/>
        <w:spacing w:after="240"/>
      </w:pPr>
      <w:bookmarkStart w:id="306" w:name="_Toc130312634"/>
      <w:bookmarkStart w:id="307" w:name="_Toc130312767"/>
      <w:r>
        <w:t>12</w:t>
      </w:r>
      <w:r w:rsidR="00B41810">
        <w:t>.</w:t>
      </w:r>
      <w:r w:rsidR="009E05DF">
        <w:t>1</w:t>
      </w:r>
      <w:r w:rsidR="00B41810">
        <w:t xml:space="preserve">. </w:t>
      </w:r>
      <w:r w:rsidR="00B41810" w:rsidRPr="00A60A07">
        <w:t>Kurucu’nun Yönetim Kurulu Tarafından Alınması Zorunlu Olan Kararlar</w:t>
      </w:r>
      <w:bookmarkEnd w:id="306"/>
      <w:bookmarkEnd w:id="307"/>
    </w:p>
    <w:p w:rsidR="00C8070F" w:rsidRDefault="00C8070F" w:rsidP="00810AB9">
      <w:pPr>
        <w:shd w:val="clear" w:color="auto" w:fill="FFFFFF"/>
        <w:spacing w:after="240" w:line="240" w:lineRule="auto"/>
        <w:ind w:right="-141" w:firstLine="708"/>
        <w:jc w:val="both"/>
        <w:rPr>
          <w:rFonts w:ascii="Times New Roman" w:hAnsi="Times New Roman" w:cs="Times New Roman"/>
          <w:sz w:val="24"/>
          <w:szCs w:val="24"/>
        </w:rPr>
      </w:pPr>
      <w:r w:rsidRPr="009D534F">
        <w:rPr>
          <w:rFonts w:ascii="Times New Roman" w:hAnsi="Times New Roman" w:cs="Times New Roman"/>
          <w:sz w:val="24"/>
          <w:szCs w:val="24"/>
        </w:rPr>
        <w:t xml:space="preserve">PYŞ Tebliği’nin 4’üncü maddesinin altıncı fıkrasında </w:t>
      </w:r>
      <w:r w:rsidRPr="009D534F">
        <w:rPr>
          <w:rFonts w:ascii="Times New Roman" w:hAnsi="Times New Roman" w:cs="Times New Roman"/>
          <w:i/>
          <w:sz w:val="24"/>
          <w:szCs w:val="24"/>
        </w:rPr>
        <w:t>“….Şirketin kurucusu olduğu fonların kuruluş, katılma payı ihracı, dönüşüm, tasfiye, yönetim ücreti artışı ile katılma payı sahiplerinin yatırım kararlarını etkileyebilecek nitelikteki işlemlerinin yönetim kurulu kararı ile yapılması zorunludur.”</w:t>
      </w:r>
      <w:r w:rsidRPr="009D534F">
        <w:rPr>
          <w:rFonts w:ascii="Times New Roman" w:hAnsi="Times New Roman" w:cs="Times New Roman"/>
          <w:sz w:val="24"/>
          <w:szCs w:val="24"/>
        </w:rPr>
        <w:t xml:space="preserve"> hükmü yer almaktadır. </w:t>
      </w:r>
    </w:p>
    <w:p w:rsidR="00A054D4" w:rsidRDefault="00A054D4" w:rsidP="00A054D4">
      <w:pPr>
        <w:autoSpaceDE w:val="0"/>
        <w:autoSpaceDN w:val="0"/>
        <w:adjustRightInd w:val="0"/>
        <w:spacing w:after="0" w:line="240" w:lineRule="auto"/>
        <w:ind w:firstLine="708"/>
        <w:jc w:val="both"/>
        <w:rPr>
          <w:rFonts w:ascii="Times New Roman" w:eastAsia="Times New Roman" w:hAnsi="Times New Roman" w:cs="Times New Roman"/>
          <w:sz w:val="24"/>
          <w:szCs w:val="24"/>
          <w:lang w:eastAsia="tr-TR"/>
        </w:rPr>
      </w:pPr>
    </w:p>
    <w:p w:rsidR="00C8070F" w:rsidRPr="009D534F" w:rsidRDefault="00C8070F" w:rsidP="00C8070F">
      <w:pPr>
        <w:shd w:val="clear" w:color="auto" w:fill="FFFFFF"/>
        <w:spacing w:after="240" w:line="240" w:lineRule="auto"/>
        <w:ind w:right="-141" w:firstLine="708"/>
        <w:jc w:val="both"/>
        <w:rPr>
          <w:rFonts w:ascii="Times New Roman" w:hAnsi="Times New Roman" w:cs="Times New Roman"/>
          <w:sz w:val="24"/>
          <w:szCs w:val="24"/>
        </w:rPr>
      </w:pPr>
      <w:r>
        <w:rPr>
          <w:rFonts w:ascii="Times New Roman" w:hAnsi="Times New Roman" w:cs="Times New Roman"/>
          <w:sz w:val="24"/>
          <w:szCs w:val="24"/>
        </w:rPr>
        <w:t xml:space="preserve">Bu çerçevede, fon katılma payı sahiplerinin yatırım kararlarını etkileyebilecek nitelikteki işlemlere ilişkin örnekler </w:t>
      </w:r>
      <w:r w:rsidRPr="009D534F">
        <w:rPr>
          <w:rFonts w:ascii="Times New Roman" w:hAnsi="Times New Roman" w:cs="Times New Roman"/>
          <w:sz w:val="24"/>
          <w:szCs w:val="24"/>
        </w:rPr>
        <w:t xml:space="preserve">aşağıda yer </w:t>
      </w:r>
      <w:r>
        <w:rPr>
          <w:rFonts w:ascii="Times New Roman" w:hAnsi="Times New Roman" w:cs="Times New Roman"/>
          <w:sz w:val="24"/>
          <w:szCs w:val="24"/>
        </w:rPr>
        <w:t>almaktadır</w:t>
      </w:r>
      <w:r w:rsidRPr="009D534F">
        <w:rPr>
          <w:rFonts w:ascii="Times New Roman" w:hAnsi="Times New Roman" w:cs="Times New Roman"/>
          <w:sz w:val="24"/>
          <w:szCs w:val="24"/>
        </w:rPr>
        <w:t>:</w:t>
      </w:r>
    </w:p>
    <w:p w:rsidR="00C8070F" w:rsidRPr="00E659B9" w:rsidRDefault="00C8070F" w:rsidP="0006161B">
      <w:pPr>
        <w:pStyle w:val="ListParagraph"/>
        <w:numPr>
          <w:ilvl w:val="0"/>
          <w:numId w:val="4"/>
        </w:numPr>
        <w:shd w:val="clear" w:color="auto" w:fill="FFFFFF"/>
        <w:spacing w:after="240" w:line="240" w:lineRule="auto"/>
        <w:ind w:right="-141"/>
        <w:jc w:val="both"/>
        <w:rPr>
          <w:rFonts w:ascii="Times New Roman" w:eastAsia="Times New Roman" w:hAnsi="Times New Roman" w:cs="Times New Roman"/>
          <w:sz w:val="24"/>
          <w:szCs w:val="24"/>
          <w:lang w:eastAsia="tr-TR"/>
        </w:rPr>
      </w:pPr>
      <w:r>
        <w:rPr>
          <w:rFonts w:ascii="Times New Roman" w:hAnsi="Times New Roman" w:cs="Times New Roman"/>
          <w:sz w:val="24"/>
          <w:szCs w:val="24"/>
        </w:rPr>
        <w:t>Fon yatırım stratejisi değişikliği,</w:t>
      </w:r>
    </w:p>
    <w:p w:rsidR="00C8070F" w:rsidRPr="00E659B9" w:rsidRDefault="00C8070F" w:rsidP="0006161B">
      <w:pPr>
        <w:pStyle w:val="ListParagraph"/>
        <w:numPr>
          <w:ilvl w:val="0"/>
          <w:numId w:val="4"/>
        </w:numPr>
        <w:shd w:val="clear" w:color="auto" w:fill="FFFFFF"/>
        <w:spacing w:after="240" w:line="240" w:lineRule="auto"/>
        <w:ind w:right="-141"/>
        <w:jc w:val="both"/>
        <w:rPr>
          <w:rFonts w:ascii="Times New Roman" w:eastAsia="Times New Roman" w:hAnsi="Times New Roman" w:cs="Times New Roman"/>
          <w:sz w:val="24"/>
          <w:szCs w:val="24"/>
          <w:lang w:eastAsia="tr-TR"/>
        </w:rPr>
      </w:pPr>
      <w:r>
        <w:rPr>
          <w:rFonts w:ascii="Times New Roman" w:hAnsi="Times New Roman" w:cs="Times New Roman"/>
          <w:sz w:val="24"/>
          <w:szCs w:val="24"/>
        </w:rPr>
        <w:t>Unvan değişikliği,</w:t>
      </w:r>
    </w:p>
    <w:p w:rsidR="00C8070F" w:rsidRPr="009D534F" w:rsidRDefault="00C8070F" w:rsidP="0006161B">
      <w:pPr>
        <w:pStyle w:val="ListParagraph"/>
        <w:numPr>
          <w:ilvl w:val="0"/>
          <w:numId w:val="4"/>
        </w:numPr>
        <w:shd w:val="clear" w:color="auto" w:fill="FFFFFF"/>
        <w:spacing w:after="240" w:line="240" w:lineRule="auto"/>
        <w:ind w:right="-141"/>
        <w:jc w:val="both"/>
        <w:rPr>
          <w:rFonts w:ascii="Times New Roman" w:eastAsia="Times New Roman" w:hAnsi="Times New Roman" w:cs="Times New Roman"/>
          <w:sz w:val="24"/>
          <w:szCs w:val="24"/>
          <w:lang w:eastAsia="tr-TR"/>
        </w:rPr>
      </w:pPr>
      <w:r>
        <w:rPr>
          <w:rFonts w:ascii="Times New Roman" w:hAnsi="Times New Roman" w:cs="Times New Roman"/>
          <w:sz w:val="24"/>
          <w:szCs w:val="24"/>
        </w:rPr>
        <w:t>Portföy yöneticisi ve portföy saklayıcısı değişikliği,</w:t>
      </w:r>
    </w:p>
    <w:p w:rsidR="00C8070F" w:rsidRDefault="00C8070F" w:rsidP="0006161B">
      <w:pPr>
        <w:pStyle w:val="ListParagraph"/>
        <w:numPr>
          <w:ilvl w:val="0"/>
          <w:numId w:val="4"/>
        </w:numPr>
        <w:shd w:val="clear" w:color="auto" w:fill="FFFFFF"/>
        <w:spacing w:after="240" w:line="240" w:lineRule="auto"/>
        <w:ind w:right="-141"/>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Fon toplam gider oranı değişikliği ve yatırımcılardan tahsil edilen komisyonlarda değişiklikler, </w:t>
      </w:r>
    </w:p>
    <w:p w:rsidR="00C8070F" w:rsidRDefault="00C8070F" w:rsidP="0006161B">
      <w:pPr>
        <w:pStyle w:val="ListParagraph"/>
        <w:numPr>
          <w:ilvl w:val="0"/>
          <w:numId w:val="4"/>
        </w:numPr>
        <w:shd w:val="clear" w:color="auto" w:fill="FFFFFF"/>
        <w:spacing w:after="240" w:line="240" w:lineRule="auto"/>
        <w:ind w:right="-141"/>
        <w:jc w:val="both"/>
        <w:rPr>
          <w:rFonts w:ascii="Times New Roman" w:eastAsia="Times New Roman" w:hAnsi="Times New Roman" w:cs="Times New Roman"/>
          <w:sz w:val="24"/>
          <w:szCs w:val="24"/>
          <w:lang w:eastAsia="tr-TR"/>
        </w:rPr>
      </w:pPr>
      <w:r>
        <w:rPr>
          <w:rFonts w:ascii="Times New Roman" w:hAnsi="Times New Roman" w:cs="Times New Roman"/>
          <w:sz w:val="24"/>
          <w:szCs w:val="24"/>
        </w:rPr>
        <w:t>Fon k</w:t>
      </w:r>
      <w:r w:rsidRPr="009D534F">
        <w:rPr>
          <w:rFonts w:ascii="Times New Roman" w:hAnsi="Times New Roman" w:cs="Times New Roman"/>
          <w:sz w:val="24"/>
          <w:szCs w:val="24"/>
        </w:rPr>
        <w:t xml:space="preserve">atılma payı </w:t>
      </w:r>
      <w:r>
        <w:rPr>
          <w:rFonts w:ascii="Times New Roman" w:hAnsi="Times New Roman" w:cs="Times New Roman"/>
          <w:sz w:val="24"/>
          <w:szCs w:val="24"/>
        </w:rPr>
        <w:t>a</w:t>
      </w:r>
      <w:r>
        <w:rPr>
          <w:rFonts w:ascii="Times New Roman" w:eastAsia="Times New Roman" w:hAnsi="Times New Roman" w:cs="Times New Roman"/>
          <w:sz w:val="24"/>
          <w:szCs w:val="24"/>
          <w:lang w:eastAsia="tr-TR"/>
        </w:rPr>
        <w:t>lım satım esaslarına ilişkin önemli nitelikteki değişiklikler</w:t>
      </w:r>
      <w:r w:rsidR="000D0680">
        <w:rPr>
          <w:rStyle w:val="FootnoteReference"/>
          <w:rFonts w:ascii="Times New Roman" w:eastAsia="Times New Roman" w:hAnsi="Times New Roman" w:cs="Times New Roman"/>
          <w:sz w:val="24"/>
          <w:szCs w:val="24"/>
          <w:lang w:eastAsia="tr-TR"/>
        </w:rPr>
        <w:footnoteReference w:id="25"/>
      </w:r>
    </w:p>
    <w:p w:rsidR="00C8070F" w:rsidRPr="009D534F" w:rsidRDefault="00C8070F" w:rsidP="0006161B">
      <w:pPr>
        <w:pStyle w:val="ListParagraph"/>
        <w:numPr>
          <w:ilvl w:val="0"/>
          <w:numId w:val="4"/>
        </w:numPr>
        <w:shd w:val="clear" w:color="auto" w:fill="FFFFFF"/>
        <w:spacing w:after="240" w:line="240" w:lineRule="auto"/>
        <w:ind w:right="-141"/>
        <w:jc w:val="both"/>
        <w:rPr>
          <w:rFonts w:ascii="Times New Roman" w:eastAsia="Times New Roman" w:hAnsi="Times New Roman" w:cs="Times New Roman"/>
          <w:sz w:val="24"/>
          <w:szCs w:val="24"/>
          <w:lang w:eastAsia="tr-TR"/>
        </w:rPr>
      </w:pPr>
      <w:r>
        <w:rPr>
          <w:rFonts w:ascii="Times New Roman" w:hAnsi="Times New Roman" w:cs="Times New Roman"/>
          <w:sz w:val="24"/>
          <w:szCs w:val="24"/>
        </w:rPr>
        <w:t>Fon kurucu değişikliği,</w:t>
      </w:r>
    </w:p>
    <w:p w:rsidR="00C8070F" w:rsidRPr="009D534F" w:rsidRDefault="00C8070F" w:rsidP="0006161B">
      <w:pPr>
        <w:pStyle w:val="ListParagraph"/>
        <w:numPr>
          <w:ilvl w:val="0"/>
          <w:numId w:val="4"/>
        </w:numPr>
        <w:shd w:val="clear" w:color="auto" w:fill="FFFFFF"/>
        <w:spacing w:after="240" w:line="240" w:lineRule="auto"/>
        <w:ind w:right="-141"/>
        <w:jc w:val="both"/>
        <w:rPr>
          <w:rFonts w:ascii="Times New Roman" w:eastAsia="Times New Roman" w:hAnsi="Times New Roman" w:cs="Times New Roman"/>
          <w:sz w:val="24"/>
          <w:szCs w:val="24"/>
          <w:lang w:eastAsia="tr-TR"/>
        </w:rPr>
      </w:pPr>
      <w:r w:rsidRPr="009D534F">
        <w:rPr>
          <w:rFonts w:ascii="Times New Roman" w:hAnsi="Times New Roman" w:cs="Times New Roman"/>
          <w:sz w:val="24"/>
          <w:szCs w:val="24"/>
        </w:rPr>
        <w:t xml:space="preserve">Fon adına katılma paylarının alım satımı nedeniyle, </w:t>
      </w:r>
      <w:r>
        <w:rPr>
          <w:rFonts w:ascii="Times New Roman" w:hAnsi="Times New Roman" w:cs="Times New Roman"/>
          <w:sz w:val="24"/>
          <w:szCs w:val="24"/>
        </w:rPr>
        <w:t>BİAŞ’ın</w:t>
      </w:r>
      <w:r w:rsidRPr="009D534F">
        <w:rPr>
          <w:rFonts w:ascii="Times New Roman" w:hAnsi="Times New Roman" w:cs="Times New Roman"/>
          <w:sz w:val="24"/>
          <w:szCs w:val="24"/>
        </w:rPr>
        <w:t xml:space="preserve"> ilgili piyasasından aynı gün valörü ile aynı gün valörlü işlem saatleri dışında </w:t>
      </w:r>
      <w:r>
        <w:rPr>
          <w:rFonts w:ascii="Times New Roman" w:hAnsi="Times New Roman" w:cs="Times New Roman"/>
          <w:sz w:val="24"/>
          <w:szCs w:val="24"/>
        </w:rPr>
        <w:t>yapılacak işlemlerin genel gerekçesinin</w:t>
      </w:r>
      <w:r w:rsidR="00934F37">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belirlenmesi,</w:t>
      </w:r>
    </w:p>
    <w:p w:rsidR="00C8070F" w:rsidRPr="00B32295" w:rsidRDefault="00C8070F" w:rsidP="0006161B">
      <w:pPr>
        <w:pStyle w:val="ListParagraph"/>
        <w:numPr>
          <w:ilvl w:val="0"/>
          <w:numId w:val="4"/>
        </w:numPr>
        <w:shd w:val="clear" w:color="auto" w:fill="FFFFFF"/>
        <w:spacing w:after="240" w:line="240" w:lineRule="auto"/>
        <w:ind w:right="-141"/>
        <w:jc w:val="both"/>
        <w:rPr>
          <w:rFonts w:ascii="Times New Roman" w:eastAsia="Times New Roman" w:hAnsi="Times New Roman" w:cs="Times New Roman"/>
          <w:sz w:val="24"/>
          <w:szCs w:val="24"/>
          <w:lang w:eastAsia="tr-TR"/>
        </w:rPr>
      </w:pPr>
      <w:r w:rsidRPr="00B32295">
        <w:rPr>
          <w:rFonts w:ascii="Times New Roman" w:eastAsia="Times New Roman" w:hAnsi="Times New Roman" w:cs="Times New Roman"/>
          <w:sz w:val="24"/>
          <w:szCs w:val="24"/>
          <w:lang w:eastAsia="tr-TR"/>
        </w:rPr>
        <w:t>Fonun varlık alım satımına ilişkin genel ilkelerin belirlenmesi</w:t>
      </w:r>
      <w:r w:rsidR="00B71CC4" w:rsidRPr="00B32295">
        <w:rPr>
          <w:rStyle w:val="FootnoteReference"/>
          <w:rFonts w:ascii="Times New Roman" w:eastAsia="Times New Roman" w:hAnsi="Times New Roman" w:cs="Times New Roman"/>
          <w:sz w:val="24"/>
          <w:szCs w:val="24"/>
          <w:lang w:eastAsia="tr-TR"/>
        </w:rPr>
        <w:footnoteReference w:id="27"/>
      </w:r>
      <w:r w:rsidRPr="00B32295">
        <w:rPr>
          <w:rFonts w:ascii="Times New Roman" w:eastAsia="Times New Roman" w:hAnsi="Times New Roman" w:cs="Times New Roman"/>
          <w:sz w:val="24"/>
          <w:szCs w:val="24"/>
          <w:lang w:eastAsia="tr-TR"/>
        </w:rPr>
        <w:t xml:space="preserve">, </w:t>
      </w:r>
    </w:p>
    <w:p w:rsidR="00C8070F" w:rsidRPr="00F90952" w:rsidRDefault="00757F0B" w:rsidP="0006161B">
      <w:pPr>
        <w:pStyle w:val="ListParagraph"/>
        <w:numPr>
          <w:ilvl w:val="0"/>
          <w:numId w:val="4"/>
        </w:numPr>
        <w:shd w:val="clear" w:color="auto" w:fill="FFFFFF"/>
        <w:spacing w:after="240" w:line="240" w:lineRule="auto"/>
        <w:ind w:right="-141"/>
        <w:jc w:val="both"/>
        <w:rPr>
          <w:rFonts w:ascii="Times New Roman" w:eastAsia="Times New Roman" w:hAnsi="Times New Roman" w:cs="Times New Roman"/>
          <w:sz w:val="24"/>
          <w:szCs w:val="24"/>
          <w:lang w:eastAsia="tr-TR"/>
        </w:rPr>
      </w:pPr>
      <w:r>
        <w:rPr>
          <w:rFonts w:ascii="Times New Roman" w:hAnsi="Times New Roman" w:cs="Times New Roman"/>
          <w:sz w:val="24"/>
          <w:szCs w:val="24"/>
        </w:rPr>
        <w:t>Kaldıraç yaratan işlemlere</w:t>
      </w:r>
      <w:r w:rsidR="00C8070F" w:rsidRPr="00746A81">
        <w:rPr>
          <w:rFonts w:ascii="Times New Roman" w:hAnsi="Times New Roman" w:cs="Times New Roman"/>
          <w:sz w:val="24"/>
          <w:szCs w:val="24"/>
        </w:rPr>
        <w:t xml:space="preserve"> yönelik genel ilkelerin</w:t>
      </w:r>
      <w:r w:rsidR="00C8070F">
        <w:rPr>
          <w:rStyle w:val="FootnoteReference"/>
          <w:rFonts w:ascii="Times New Roman" w:hAnsi="Times New Roman" w:cs="Times New Roman"/>
          <w:sz w:val="24"/>
          <w:szCs w:val="24"/>
        </w:rPr>
        <w:footnoteReference w:id="28"/>
      </w:r>
      <w:r w:rsidR="00C8070F" w:rsidRPr="00746A81">
        <w:rPr>
          <w:rFonts w:ascii="Times New Roman" w:hAnsi="Times New Roman" w:cs="Times New Roman"/>
          <w:sz w:val="24"/>
          <w:szCs w:val="24"/>
        </w:rPr>
        <w:t xml:space="preserve"> belirlenmesi, </w:t>
      </w:r>
    </w:p>
    <w:p w:rsidR="0033268C" w:rsidRDefault="00C8070F" w:rsidP="0006161B">
      <w:pPr>
        <w:pStyle w:val="ListParagraph"/>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5246AA">
        <w:rPr>
          <w:rFonts w:ascii="Times New Roman" w:eastAsia="Times New Roman" w:hAnsi="Times New Roman" w:cs="Times New Roman"/>
          <w:sz w:val="24"/>
          <w:szCs w:val="24"/>
          <w:lang w:eastAsia="tr-TR"/>
        </w:rPr>
        <w:t>Promosyon kampanyası düzenlenmesi</w:t>
      </w:r>
      <w:r w:rsidR="0033268C">
        <w:rPr>
          <w:rFonts w:ascii="Times New Roman" w:eastAsia="Times New Roman" w:hAnsi="Times New Roman" w:cs="Times New Roman"/>
          <w:sz w:val="24"/>
          <w:szCs w:val="24"/>
          <w:lang w:eastAsia="tr-TR"/>
        </w:rPr>
        <w:t>,</w:t>
      </w:r>
    </w:p>
    <w:p w:rsidR="00E47EB9" w:rsidRDefault="00744779" w:rsidP="009168AA">
      <w:pPr>
        <w:pStyle w:val="ListParagraph"/>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168AA">
        <w:rPr>
          <w:rFonts w:ascii="Times New Roman" w:eastAsia="Times New Roman" w:hAnsi="Times New Roman" w:cs="Times New Roman"/>
          <w:b/>
          <w:sz w:val="24"/>
          <w:szCs w:val="24"/>
          <w:lang w:eastAsia="tr-TR"/>
        </w:rPr>
        <w:t xml:space="preserve">(Değişiklik: </w:t>
      </w:r>
      <w:r w:rsidR="009168AA" w:rsidRPr="009168AA">
        <w:rPr>
          <w:rFonts w:ascii="Times New Roman" w:eastAsia="Times New Roman" w:hAnsi="Times New Roman" w:cs="Times New Roman"/>
          <w:b/>
          <w:sz w:val="24"/>
          <w:szCs w:val="24"/>
          <w:lang w:eastAsia="tr-TR"/>
        </w:rPr>
        <w:t xml:space="preserve">23.05.2016 tarih ve 17/573 sayılı Kurul Kararı ile) </w:t>
      </w:r>
      <w:r w:rsidR="00E47EB9" w:rsidRPr="002C6296">
        <w:rPr>
          <w:rFonts w:ascii="Times New Roman" w:eastAsia="Times New Roman" w:hAnsi="Times New Roman" w:cs="Times New Roman"/>
          <w:sz w:val="24"/>
          <w:szCs w:val="24"/>
          <w:lang w:eastAsia="tr-TR"/>
        </w:rPr>
        <w:t>Yukarıdaki sıralanan maddelerde belirtilmemekle birlikte Kurula yapılacak izahname ve içtüzük değişikliği başvurularına konu olan diğer hususlar.</w:t>
      </w:r>
    </w:p>
    <w:p w:rsidR="00A054D4" w:rsidRDefault="00A054D4" w:rsidP="00A054D4">
      <w:pPr>
        <w:autoSpaceDE w:val="0"/>
        <w:autoSpaceDN w:val="0"/>
        <w:adjustRightInd w:val="0"/>
        <w:spacing w:after="0" w:line="240" w:lineRule="auto"/>
        <w:ind w:firstLine="708"/>
        <w:jc w:val="both"/>
        <w:rPr>
          <w:rFonts w:ascii="Times New Roman" w:eastAsia="Times New Roman" w:hAnsi="Times New Roman" w:cs="Times New Roman"/>
          <w:sz w:val="24"/>
          <w:szCs w:val="24"/>
          <w:lang w:eastAsia="tr-TR"/>
        </w:rPr>
      </w:pPr>
    </w:p>
    <w:p w:rsidR="00C8070F" w:rsidRDefault="00C8070F" w:rsidP="005845F8">
      <w:pPr>
        <w:spacing w:after="240" w:line="240" w:lineRule="auto"/>
        <w:ind w:firstLine="708"/>
        <w:jc w:val="both"/>
        <w:rPr>
          <w:rFonts w:ascii="Times New Roman" w:hAnsi="Times New Roman" w:cs="Times New Roman"/>
          <w:sz w:val="24"/>
          <w:szCs w:val="24"/>
        </w:rPr>
      </w:pPr>
      <w:r>
        <w:rPr>
          <w:rFonts w:ascii="Times New Roman" w:hAnsi="Times New Roman" w:cs="Times New Roman"/>
          <w:sz w:val="24"/>
          <w:szCs w:val="24"/>
        </w:rPr>
        <w:t>Bununla birlikte, aşağıda belirtilen hususlarda da Kurucu’nun yönetim kurulu tarafından karar alınması zorunludur:</w:t>
      </w:r>
    </w:p>
    <w:p w:rsidR="00C8070F" w:rsidRPr="00280CD8" w:rsidRDefault="00C8070F" w:rsidP="0006161B">
      <w:pPr>
        <w:pStyle w:val="ListParagraph"/>
        <w:numPr>
          <w:ilvl w:val="0"/>
          <w:numId w:val="48"/>
        </w:numPr>
        <w:autoSpaceDE w:val="0"/>
        <w:autoSpaceDN w:val="0"/>
        <w:adjustRightInd w:val="0"/>
        <w:spacing w:after="0" w:line="240" w:lineRule="auto"/>
        <w:jc w:val="both"/>
        <w:rPr>
          <w:rFonts w:ascii="Times New Roman" w:hAnsi="Times New Roman" w:cs="Times New Roman"/>
          <w:sz w:val="24"/>
          <w:szCs w:val="24"/>
        </w:rPr>
      </w:pPr>
      <w:r w:rsidRPr="00280CD8">
        <w:rPr>
          <w:rFonts w:ascii="Times New Roman" w:hAnsi="Times New Roman" w:cs="Times New Roman"/>
          <w:sz w:val="24"/>
          <w:szCs w:val="24"/>
        </w:rPr>
        <w:t>Bu Rehber’in</w:t>
      </w:r>
      <w:r w:rsidR="00DE4D3E" w:rsidRPr="00280CD8">
        <w:rPr>
          <w:rFonts w:ascii="Times New Roman" w:hAnsi="Times New Roman" w:cs="Times New Roman"/>
          <w:sz w:val="24"/>
          <w:szCs w:val="24"/>
        </w:rPr>
        <w:t xml:space="preserve"> (7.5.) nolu</w:t>
      </w:r>
      <w:r w:rsidRPr="00280CD8">
        <w:rPr>
          <w:rFonts w:ascii="Times New Roman" w:hAnsi="Times New Roman" w:cs="Times New Roman"/>
          <w:sz w:val="24"/>
          <w:szCs w:val="24"/>
        </w:rPr>
        <w:t xml:space="preserve"> bölümünde belirlenen esaslar çerçevesinde kullanılacak yöntem ile bu yöntemin seçilme gerekçelerinin belirlenmesi, </w:t>
      </w:r>
    </w:p>
    <w:p w:rsidR="00A054D4" w:rsidRPr="002D0D3F" w:rsidRDefault="00A054D4" w:rsidP="0006161B">
      <w:pPr>
        <w:pStyle w:val="ListParagraph"/>
        <w:numPr>
          <w:ilvl w:val="0"/>
          <w:numId w:val="48"/>
        </w:num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674238">
        <w:rPr>
          <w:rFonts w:ascii="Times New Roman" w:eastAsia="Times New Roman" w:hAnsi="Times New Roman" w:cs="Times New Roman"/>
          <w:sz w:val="24"/>
          <w:szCs w:val="24"/>
          <w:lang w:eastAsia="tr-TR"/>
        </w:rPr>
        <w:t>Finansal Raporl</w:t>
      </w:r>
      <w:r w:rsidR="006614FE">
        <w:rPr>
          <w:rFonts w:ascii="Times New Roman" w:eastAsia="Times New Roman" w:hAnsi="Times New Roman" w:cs="Times New Roman"/>
          <w:sz w:val="24"/>
          <w:szCs w:val="24"/>
          <w:lang w:eastAsia="tr-TR"/>
        </w:rPr>
        <w:t xml:space="preserve">ama Tebliği’nin 9. maddesinin dokuzuncu </w:t>
      </w:r>
      <w:r w:rsidRPr="00674238">
        <w:rPr>
          <w:rFonts w:ascii="Times New Roman" w:eastAsia="Times New Roman" w:hAnsi="Times New Roman" w:cs="Times New Roman"/>
          <w:sz w:val="24"/>
          <w:szCs w:val="24"/>
          <w:lang w:eastAsia="tr-TR"/>
        </w:rPr>
        <w:t>fıkrası kapsamındaki varlıkların değerleme yöntemine ilişkin olarak Finansal Raporlama Tebliği uyarınca KGK tarafından yayımlanan TMS/TFRS dikkate alın</w:t>
      </w:r>
      <w:r>
        <w:rPr>
          <w:rFonts w:ascii="Times New Roman" w:eastAsia="Times New Roman" w:hAnsi="Times New Roman" w:cs="Times New Roman"/>
          <w:sz w:val="24"/>
          <w:szCs w:val="24"/>
          <w:lang w:eastAsia="tr-TR"/>
        </w:rPr>
        <w:t xml:space="preserve">ması suretiyle </w:t>
      </w:r>
      <w:r w:rsidRPr="00674238">
        <w:rPr>
          <w:rFonts w:ascii="Times New Roman" w:eastAsia="Times New Roman" w:hAnsi="Times New Roman" w:cs="Times New Roman"/>
          <w:sz w:val="24"/>
          <w:szCs w:val="24"/>
          <w:lang w:eastAsia="tr-TR"/>
        </w:rPr>
        <w:t>değerleme esasları</w:t>
      </w:r>
      <w:r>
        <w:rPr>
          <w:rFonts w:ascii="Times New Roman" w:eastAsia="Times New Roman" w:hAnsi="Times New Roman" w:cs="Times New Roman"/>
          <w:sz w:val="24"/>
          <w:szCs w:val="24"/>
          <w:lang w:eastAsia="tr-TR"/>
        </w:rPr>
        <w:t>nın belirlenmesi</w:t>
      </w:r>
      <w:r>
        <w:rPr>
          <w:rStyle w:val="FootnoteReference"/>
          <w:rFonts w:ascii="Times New Roman" w:hAnsi="Times New Roman" w:cs="Times New Roman"/>
          <w:sz w:val="24"/>
          <w:szCs w:val="24"/>
        </w:rPr>
        <w:footnoteReference w:id="29"/>
      </w:r>
      <w:r w:rsidR="00BA4656">
        <w:rPr>
          <w:rFonts w:ascii="Times New Roman" w:hAnsi="Times New Roman" w:cs="Times New Roman"/>
          <w:sz w:val="24"/>
          <w:szCs w:val="24"/>
        </w:rPr>
        <w:t>,</w:t>
      </w:r>
    </w:p>
    <w:p w:rsidR="00E47EB9" w:rsidRDefault="00744779" w:rsidP="009168AA">
      <w:pPr>
        <w:pStyle w:val="ListParagraph"/>
        <w:numPr>
          <w:ilvl w:val="0"/>
          <w:numId w:val="48"/>
        </w:num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168AA">
        <w:rPr>
          <w:rFonts w:ascii="Times New Roman" w:eastAsia="Times New Roman" w:hAnsi="Times New Roman" w:cs="Times New Roman"/>
          <w:b/>
          <w:sz w:val="24"/>
          <w:szCs w:val="24"/>
          <w:lang w:eastAsia="tr-TR"/>
        </w:rPr>
        <w:t>(Değişiklik:</w:t>
      </w:r>
      <w:r w:rsidR="009168AA" w:rsidRPr="009168AA">
        <w:t xml:space="preserve"> </w:t>
      </w:r>
      <w:r w:rsidR="009168AA" w:rsidRPr="009168AA">
        <w:rPr>
          <w:rFonts w:ascii="Times New Roman" w:eastAsia="Times New Roman" w:hAnsi="Times New Roman" w:cs="Times New Roman"/>
          <w:b/>
          <w:sz w:val="24"/>
          <w:szCs w:val="24"/>
          <w:lang w:eastAsia="tr-TR"/>
        </w:rPr>
        <w:t xml:space="preserve">23.05.2016 tarih ve 17/573 sayılı Kurul Kararı ile) </w:t>
      </w:r>
      <w:r w:rsidR="00E47EB9" w:rsidRPr="00C272A7">
        <w:rPr>
          <w:rFonts w:ascii="Times New Roman" w:eastAsia="Times New Roman" w:hAnsi="Times New Roman" w:cs="Times New Roman"/>
          <w:sz w:val="24"/>
          <w:szCs w:val="24"/>
          <w:lang w:eastAsia="tr-TR"/>
        </w:rPr>
        <w:t>Yukarıda sayılan fon katılma payı sahiplerinin yatırım kararlarını etkileyebilecek nitelikteki içtüzük değişiklikleri başvurularına konu olan hususlar</w:t>
      </w:r>
      <w:r w:rsidR="00E47EB9">
        <w:rPr>
          <w:rFonts w:ascii="Times New Roman" w:eastAsia="Times New Roman" w:hAnsi="Times New Roman" w:cs="Times New Roman"/>
          <w:sz w:val="24"/>
          <w:szCs w:val="24"/>
          <w:lang w:eastAsia="tr-TR"/>
        </w:rPr>
        <w:t>,</w:t>
      </w:r>
    </w:p>
    <w:p w:rsidR="00394B99" w:rsidRDefault="00394B99" w:rsidP="00394B99">
      <w:pPr>
        <w:pStyle w:val="ListParagraph"/>
        <w:numPr>
          <w:ilvl w:val="0"/>
          <w:numId w:val="48"/>
        </w:num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Fon Tebliği’nin 21’inci maddesinin birinci fıkrası kapsamında fon hesabına kredi alınmasının öngörüldüğü durumlarda </w:t>
      </w:r>
      <w:r w:rsidR="004A2E50">
        <w:rPr>
          <w:rFonts w:ascii="Times New Roman" w:eastAsia="Times New Roman" w:hAnsi="Times New Roman" w:cs="Times New Roman"/>
          <w:sz w:val="24"/>
          <w:szCs w:val="24"/>
          <w:lang w:eastAsia="tr-TR"/>
        </w:rPr>
        <w:t>kredinin şartlarına ilişkin genel esasların (faiz, süre gibi) belirlenmesi,</w:t>
      </w:r>
    </w:p>
    <w:p w:rsidR="002D0D3F" w:rsidRPr="00A054D4" w:rsidRDefault="002D0D3F" w:rsidP="0006161B">
      <w:pPr>
        <w:pStyle w:val="ListParagraph"/>
        <w:numPr>
          <w:ilvl w:val="0"/>
          <w:numId w:val="48"/>
        </w:num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hAnsi="Times New Roman" w:cs="Times New Roman"/>
          <w:sz w:val="24"/>
          <w:szCs w:val="24"/>
        </w:rPr>
        <w:t>Bu Rehber’de yönetim kurulu kararı ile belirlenmesi zorunlu tutulan diğer hususlar.</w:t>
      </w:r>
    </w:p>
    <w:p w:rsidR="00A054D4" w:rsidRDefault="00A054D4" w:rsidP="00A054D4">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DD55FA" w:rsidRPr="00DD55FA" w:rsidRDefault="00DD55FA" w:rsidP="00522BE7">
      <w:pPr>
        <w:pStyle w:val="Heading2"/>
      </w:pPr>
      <w:bookmarkStart w:id="308" w:name="_Toc130312635"/>
      <w:bookmarkStart w:id="309" w:name="_Toc130312768"/>
      <w:r w:rsidRPr="00DD55FA">
        <w:t>12.</w:t>
      </w:r>
      <w:r w:rsidR="009E05DF">
        <w:t>2</w:t>
      </w:r>
      <w:r w:rsidRPr="00DD55FA">
        <w:t>.</w:t>
      </w:r>
      <w:r w:rsidR="00E550F4">
        <w:t xml:space="preserve"> </w:t>
      </w:r>
      <w:r w:rsidRPr="00DD55FA">
        <w:t>Fon Malvarlığının Yapay Olarak Artırılamaması</w:t>
      </w:r>
      <w:bookmarkEnd w:id="308"/>
      <w:bookmarkEnd w:id="309"/>
    </w:p>
    <w:p w:rsidR="00DD55FA" w:rsidRPr="00686430" w:rsidRDefault="00DD55FA" w:rsidP="00DD55FA"/>
    <w:p w:rsidR="00DD55FA" w:rsidRDefault="00DD55FA" w:rsidP="005845F8">
      <w:pPr>
        <w:spacing w:after="240" w:line="240" w:lineRule="auto"/>
        <w:ind w:firstLine="708"/>
        <w:jc w:val="both"/>
        <w:rPr>
          <w:rFonts w:ascii="Times New Roman" w:hAnsi="Times New Roman" w:cs="Times New Roman"/>
          <w:sz w:val="24"/>
          <w:szCs w:val="24"/>
        </w:rPr>
      </w:pPr>
      <w:r w:rsidRPr="00BD2ED0">
        <w:rPr>
          <w:rFonts w:ascii="Times New Roman" w:hAnsi="Times New Roman" w:cs="Times New Roman"/>
          <w:sz w:val="24"/>
          <w:szCs w:val="24"/>
        </w:rPr>
        <w:t>Fo</w:t>
      </w:r>
      <w:r>
        <w:rPr>
          <w:rFonts w:ascii="Times New Roman" w:hAnsi="Times New Roman" w:cs="Times New Roman"/>
          <w:sz w:val="24"/>
          <w:szCs w:val="24"/>
        </w:rPr>
        <w:t>nların</w:t>
      </w:r>
      <w:r w:rsidRPr="00BD2ED0">
        <w:rPr>
          <w:rFonts w:ascii="Times New Roman" w:hAnsi="Times New Roman" w:cs="Times New Roman"/>
          <w:sz w:val="24"/>
          <w:szCs w:val="24"/>
        </w:rPr>
        <w:t xml:space="preserve"> malvarlığı her ne surette olursa olsun yapay ve/veya rekabeti bozucu, piyasa fiyat ve oranlarından bariz derecede farklılık gösteren iş ve işlemler yoluyla artırılamaz veya azalması önlenemez. Söz konusu işlemleri önlemeye yönelik tedbir</w:t>
      </w:r>
      <w:r>
        <w:rPr>
          <w:rFonts w:ascii="Times New Roman" w:hAnsi="Times New Roman" w:cs="Times New Roman"/>
          <w:sz w:val="24"/>
          <w:szCs w:val="24"/>
        </w:rPr>
        <w:t>lerin</w:t>
      </w:r>
      <w:r w:rsidRPr="00BD2ED0">
        <w:rPr>
          <w:rFonts w:ascii="Times New Roman" w:hAnsi="Times New Roman" w:cs="Times New Roman"/>
          <w:sz w:val="24"/>
          <w:szCs w:val="24"/>
        </w:rPr>
        <w:t xml:space="preserve"> alınmasından </w:t>
      </w:r>
      <w:r>
        <w:rPr>
          <w:rFonts w:ascii="Times New Roman" w:hAnsi="Times New Roman" w:cs="Times New Roman"/>
          <w:sz w:val="24"/>
          <w:szCs w:val="24"/>
        </w:rPr>
        <w:t>K</w:t>
      </w:r>
      <w:r w:rsidRPr="00BD2ED0">
        <w:rPr>
          <w:rFonts w:ascii="Times New Roman" w:hAnsi="Times New Roman" w:cs="Times New Roman"/>
          <w:sz w:val="24"/>
          <w:szCs w:val="24"/>
        </w:rPr>
        <w:t xml:space="preserve">urucu ve </w:t>
      </w:r>
      <w:r>
        <w:rPr>
          <w:rFonts w:ascii="Times New Roman" w:hAnsi="Times New Roman" w:cs="Times New Roman"/>
          <w:sz w:val="24"/>
          <w:szCs w:val="24"/>
        </w:rPr>
        <w:t>Y</w:t>
      </w:r>
      <w:r w:rsidRPr="00BD2ED0">
        <w:rPr>
          <w:rFonts w:ascii="Times New Roman" w:hAnsi="Times New Roman" w:cs="Times New Roman"/>
          <w:sz w:val="24"/>
          <w:szCs w:val="24"/>
        </w:rPr>
        <w:t>önetici müteselsilen sorumludur.</w:t>
      </w:r>
    </w:p>
    <w:p w:rsidR="002B6E3B" w:rsidRDefault="009C6AEB" w:rsidP="00810AB9">
      <w:pPr>
        <w:pStyle w:val="Heading2"/>
        <w:spacing w:after="240"/>
      </w:pPr>
      <w:bookmarkStart w:id="310" w:name="_Toc130312636"/>
      <w:bookmarkStart w:id="311" w:name="_Toc130312769"/>
      <w:r w:rsidRPr="009C6AEB">
        <w:t>1</w:t>
      </w:r>
      <w:r w:rsidR="000C6C1D">
        <w:t>2</w:t>
      </w:r>
      <w:r w:rsidRPr="009C6AEB">
        <w:t>.</w:t>
      </w:r>
      <w:r w:rsidR="00790CE9">
        <w:t>3</w:t>
      </w:r>
      <w:r w:rsidRPr="009C6AEB">
        <w:t xml:space="preserve">. </w:t>
      </w:r>
      <w:r w:rsidR="00686430" w:rsidRPr="009C6AEB">
        <w:t>Fon Tebliği’nde Yer Alan Geçici Maddelerin Uygulama Esasları</w:t>
      </w:r>
      <w:bookmarkEnd w:id="310"/>
      <w:bookmarkEnd w:id="311"/>
    </w:p>
    <w:p w:rsidR="002B6E3B" w:rsidRPr="009C6AEB" w:rsidRDefault="002B6E3B" w:rsidP="00686430">
      <w:pPr>
        <w:spacing w:line="240" w:lineRule="auto"/>
        <w:ind w:firstLine="567"/>
        <w:jc w:val="both"/>
        <w:rPr>
          <w:rFonts w:ascii="Times New Roman" w:hAnsi="Times New Roman" w:cs="Times New Roman"/>
          <w:sz w:val="24"/>
          <w:szCs w:val="24"/>
        </w:rPr>
      </w:pPr>
      <w:r w:rsidRPr="009C6AEB">
        <w:rPr>
          <w:rFonts w:ascii="Times New Roman" w:hAnsi="Times New Roman" w:cs="Times New Roman"/>
          <w:sz w:val="24"/>
          <w:szCs w:val="24"/>
        </w:rPr>
        <w:t>Fon Tebliği’nin Geçici 1. ve 2. maddelerine ilişkin uygulama esaslarına aşağıda yer verilmekte olup,  Fon Tebliği’nin yayım tarihi (09.07.2013) ile yürürlük tarihi (01.07.2014) arasında olan dönem “</w:t>
      </w:r>
      <w:r w:rsidRPr="009C6AEB">
        <w:rPr>
          <w:rFonts w:ascii="Times New Roman" w:hAnsi="Times New Roman" w:cs="Times New Roman"/>
          <w:b/>
          <w:sz w:val="24"/>
          <w:szCs w:val="24"/>
        </w:rPr>
        <w:t>ara dönem</w:t>
      </w:r>
      <w:r w:rsidRPr="009C6AEB">
        <w:rPr>
          <w:rFonts w:ascii="Times New Roman" w:hAnsi="Times New Roman" w:cs="Times New Roman"/>
          <w:sz w:val="24"/>
          <w:szCs w:val="24"/>
        </w:rPr>
        <w:t xml:space="preserve">” olarak nitelendirilmiştir. </w:t>
      </w:r>
    </w:p>
    <w:p w:rsidR="00042A12" w:rsidRPr="00042A12" w:rsidRDefault="002B6E3B" w:rsidP="0006161B">
      <w:pPr>
        <w:pStyle w:val="ListParagraph"/>
        <w:numPr>
          <w:ilvl w:val="0"/>
          <w:numId w:val="40"/>
        </w:numPr>
        <w:autoSpaceDE w:val="0"/>
        <w:autoSpaceDN w:val="0"/>
        <w:spacing w:after="0" w:line="240" w:lineRule="auto"/>
        <w:jc w:val="both"/>
        <w:rPr>
          <w:rFonts w:ascii="Times New Roman" w:hAnsi="Times New Roman" w:cs="Times New Roman"/>
          <w:sz w:val="24"/>
          <w:szCs w:val="24"/>
        </w:rPr>
      </w:pPr>
      <w:r w:rsidRPr="009C6AEB">
        <w:rPr>
          <w:rFonts w:ascii="Times New Roman" w:hAnsi="Times New Roman" w:cs="Times New Roman"/>
          <w:sz w:val="24"/>
          <w:szCs w:val="24"/>
        </w:rPr>
        <w:t xml:space="preserve">09.07.2013’den önce kurulmuş veya payları ihraç edilmiş olan yatırım fonları tarafından, en geç 01.07.2015 tarihine kadar Fon Tebliği hükümlerine uyum sağlanması zorunludur. Aksi takdirde, kurucu tarafından içtüzük veya izahnamenin ticaret sicilinden terkin ettirilmesi için Kurula başvurulması gerekir. </w:t>
      </w:r>
      <w:r w:rsidR="00042A12">
        <w:rPr>
          <w:rFonts w:ascii="Times New Roman" w:hAnsi="Times New Roman" w:cs="Times New Roman"/>
          <w:sz w:val="24"/>
          <w:szCs w:val="24"/>
        </w:rPr>
        <w:t>Bu süreçte tasfiye olacak olan fonlar bu Rehber’in (11) nolu bölümünde yer alan esaslara tabidir.</w:t>
      </w:r>
    </w:p>
    <w:p w:rsidR="009922A5" w:rsidRPr="009922A5" w:rsidRDefault="00E05E92" w:rsidP="0006161B">
      <w:pPr>
        <w:pStyle w:val="ListParagraph"/>
        <w:numPr>
          <w:ilvl w:val="0"/>
          <w:numId w:val="40"/>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w:t>
      </w:r>
      <w:r w:rsidR="00F3470D" w:rsidRPr="009922A5">
        <w:rPr>
          <w:rFonts w:ascii="Times New Roman" w:hAnsi="Times New Roman" w:cs="Times New Roman"/>
          <w:sz w:val="24"/>
          <w:szCs w:val="24"/>
        </w:rPr>
        <w:t>09.07.2013’den önce kurulmuş veya payları ihr</w:t>
      </w:r>
      <w:r w:rsidR="009922A5">
        <w:rPr>
          <w:rFonts w:ascii="Times New Roman" w:hAnsi="Times New Roman" w:cs="Times New Roman"/>
          <w:sz w:val="24"/>
          <w:szCs w:val="24"/>
        </w:rPr>
        <w:t xml:space="preserve">aç edilmiş olması kaydıyla, ara </w:t>
      </w:r>
      <w:r w:rsidR="00F3470D" w:rsidRPr="009922A5">
        <w:rPr>
          <w:rFonts w:ascii="Times New Roman" w:hAnsi="Times New Roman" w:cs="Times New Roman"/>
          <w:sz w:val="24"/>
          <w:szCs w:val="24"/>
        </w:rPr>
        <w:t>dönemde başka bir fona dönüştürülen veya birleştirilen fonlar,</w:t>
      </w:r>
    </w:p>
    <w:p w:rsidR="00F3470D" w:rsidRPr="00E05E92" w:rsidRDefault="00E05E92" w:rsidP="00E05E92">
      <w:pPr>
        <w:autoSpaceDE w:val="0"/>
        <w:autoSpaceDN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ii) </w:t>
      </w:r>
      <w:r w:rsidR="00F3470D" w:rsidRPr="00E05E92">
        <w:rPr>
          <w:rFonts w:ascii="Times New Roman" w:hAnsi="Times New Roman" w:cs="Times New Roman"/>
          <w:sz w:val="24"/>
          <w:szCs w:val="24"/>
        </w:rPr>
        <w:t>Ş</w:t>
      </w:r>
      <w:r w:rsidR="002B6E3B" w:rsidRPr="00E05E92">
        <w:rPr>
          <w:rFonts w:ascii="Times New Roman" w:hAnsi="Times New Roman" w:cs="Times New Roman"/>
          <w:sz w:val="24"/>
          <w:szCs w:val="24"/>
        </w:rPr>
        <w:t>emsiye fonun 09.07.2013’den önce kurulmuş olması şartıyla anılan şemsiye fona bağlı fonun/fonların katılma paylarının ara dönemde ihraç edildiği durumlarda şemsiye fona bağlı alt fonlar</w:t>
      </w:r>
      <w:r w:rsidR="00F3470D" w:rsidRPr="00E05E92">
        <w:rPr>
          <w:rFonts w:ascii="Times New Roman" w:hAnsi="Times New Roman" w:cs="Times New Roman"/>
          <w:sz w:val="24"/>
          <w:szCs w:val="24"/>
        </w:rPr>
        <w:t xml:space="preserve">, </w:t>
      </w:r>
    </w:p>
    <w:p w:rsidR="00F3470D" w:rsidRDefault="00E05E92" w:rsidP="00E05E92">
      <w:pPr>
        <w:autoSpaceDE w:val="0"/>
        <w:autoSpaceDN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iii) </w:t>
      </w:r>
      <w:r w:rsidR="00F3470D" w:rsidRPr="00E05E92">
        <w:rPr>
          <w:rFonts w:ascii="Times New Roman" w:hAnsi="Times New Roman" w:cs="Times New Roman"/>
          <w:sz w:val="24"/>
          <w:szCs w:val="24"/>
        </w:rPr>
        <w:t>Ara dönemde kurulmakla birlikte yatırım dönemi 01.07.2015</w:t>
      </w:r>
      <w:r w:rsidR="009E05DF" w:rsidRPr="00E05E92">
        <w:rPr>
          <w:rFonts w:ascii="Times New Roman" w:hAnsi="Times New Roman" w:cs="Times New Roman"/>
          <w:sz w:val="24"/>
          <w:szCs w:val="24"/>
        </w:rPr>
        <w:t>’den</w:t>
      </w:r>
      <w:r w:rsidR="00F3470D" w:rsidRPr="00E05E92">
        <w:rPr>
          <w:rFonts w:ascii="Times New Roman" w:hAnsi="Times New Roman" w:cs="Times New Roman"/>
          <w:sz w:val="24"/>
          <w:szCs w:val="24"/>
        </w:rPr>
        <w:t xml:space="preserve"> önce</w:t>
      </w:r>
      <w:r w:rsidR="009E05DF" w:rsidRPr="00E05E92">
        <w:rPr>
          <w:rFonts w:ascii="Times New Roman" w:hAnsi="Times New Roman" w:cs="Times New Roman"/>
          <w:sz w:val="24"/>
          <w:szCs w:val="24"/>
        </w:rPr>
        <w:t xml:space="preserve"> sona erecek</w:t>
      </w:r>
      <w:r w:rsidR="00F3470D" w:rsidRPr="00E05E92">
        <w:rPr>
          <w:rFonts w:ascii="Times New Roman" w:hAnsi="Times New Roman" w:cs="Times New Roman"/>
          <w:sz w:val="24"/>
          <w:szCs w:val="24"/>
        </w:rPr>
        <w:t xml:space="preserve"> garantili ve koruma amaçlı yatırım fonları</w:t>
      </w:r>
    </w:p>
    <w:p w:rsidR="00790CE9" w:rsidRPr="00E05E92" w:rsidRDefault="00790CE9" w:rsidP="00E05E92">
      <w:pPr>
        <w:autoSpaceDE w:val="0"/>
        <w:autoSpaceDN w:val="0"/>
        <w:spacing w:after="0" w:line="240" w:lineRule="auto"/>
        <w:ind w:firstLine="708"/>
        <w:jc w:val="both"/>
        <w:rPr>
          <w:rFonts w:ascii="Times New Roman" w:hAnsi="Times New Roman" w:cs="Times New Roman"/>
          <w:sz w:val="24"/>
          <w:szCs w:val="24"/>
        </w:rPr>
      </w:pPr>
    </w:p>
    <w:p w:rsidR="002B6E3B" w:rsidRDefault="00E05E92" w:rsidP="00E05E92">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B6E3B" w:rsidRPr="00F3470D">
        <w:rPr>
          <w:rFonts w:ascii="Times New Roman" w:hAnsi="Times New Roman" w:cs="Times New Roman"/>
          <w:sz w:val="24"/>
          <w:szCs w:val="24"/>
        </w:rPr>
        <w:t>01.07.2015’e kadar geçerli olan uyum süresinden yararlanabilirler.</w:t>
      </w:r>
    </w:p>
    <w:p w:rsidR="00810AB9" w:rsidRPr="00F3470D" w:rsidRDefault="00810AB9" w:rsidP="00F3470D">
      <w:pPr>
        <w:autoSpaceDE w:val="0"/>
        <w:autoSpaceDN w:val="0"/>
        <w:spacing w:after="0" w:line="240" w:lineRule="auto"/>
        <w:ind w:left="1080"/>
        <w:jc w:val="both"/>
        <w:rPr>
          <w:rFonts w:ascii="Times New Roman" w:hAnsi="Times New Roman" w:cs="Times New Roman"/>
          <w:sz w:val="24"/>
          <w:szCs w:val="24"/>
        </w:rPr>
      </w:pPr>
    </w:p>
    <w:p w:rsidR="002B6E3B" w:rsidRDefault="002B6E3B" w:rsidP="0006161B">
      <w:pPr>
        <w:pStyle w:val="ListParagraph"/>
        <w:numPr>
          <w:ilvl w:val="0"/>
          <w:numId w:val="40"/>
        </w:numPr>
        <w:autoSpaceDE w:val="0"/>
        <w:autoSpaceDN w:val="0"/>
        <w:spacing w:after="0" w:line="240" w:lineRule="auto"/>
        <w:jc w:val="both"/>
        <w:rPr>
          <w:rFonts w:ascii="Times New Roman" w:hAnsi="Times New Roman" w:cs="Times New Roman"/>
          <w:sz w:val="24"/>
          <w:szCs w:val="24"/>
        </w:rPr>
      </w:pPr>
      <w:r w:rsidRPr="009C6AEB">
        <w:rPr>
          <w:rFonts w:ascii="Times New Roman" w:hAnsi="Times New Roman" w:cs="Times New Roman"/>
          <w:sz w:val="24"/>
          <w:szCs w:val="24"/>
        </w:rPr>
        <w:t>Ara dönemde kurulmuş olan fonlara ilişkin olarak;</w:t>
      </w:r>
    </w:p>
    <w:p w:rsidR="00810AB9" w:rsidRPr="009C6AEB" w:rsidRDefault="00810AB9" w:rsidP="00810AB9">
      <w:pPr>
        <w:pStyle w:val="ListParagraph"/>
        <w:autoSpaceDE w:val="0"/>
        <w:autoSpaceDN w:val="0"/>
        <w:spacing w:after="0" w:line="240" w:lineRule="auto"/>
        <w:ind w:left="927"/>
        <w:jc w:val="both"/>
        <w:rPr>
          <w:rFonts w:ascii="Times New Roman" w:hAnsi="Times New Roman" w:cs="Times New Roman"/>
          <w:sz w:val="24"/>
          <w:szCs w:val="24"/>
        </w:rPr>
      </w:pPr>
    </w:p>
    <w:p w:rsidR="002B6E3B" w:rsidRPr="002912D3" w:rsidRDefault="002B6E3B" w:rsidP="0006161B">
      <w:pPr>
        <w:pStyle w:val="ListParagraph"/>
        <w:numPr>
          <w:ilvl w:val="1"/>
          <w:numId w:val="40"/>
        </w:numPr>
        <w:autoSpaceDE w:val="0"/>
        <w:autoSpaceDN w:val="0"/>
        <w:spacing w:after="0" w:line="240" w:lineRule="auto"/>
        <w:jc w:val="both"/>
        <w:rPr>
          <w:rFonts w:ascii="Times New Roman" w:hAnsi="Times New Roman" w:cs="Times New Roman"/>
          <w:sz w:val="24"/>
          <w:szCs w:val="24"/>
        </w:rPr>
      </w:pPr>
      <w:r w:rsidRPr="009C6AEB">
        <w:rPr>
          <w:rFonts w:ascii="Times New Roman" w:hAnsi="Times New Roman" w:cs="Times New Roman"/>
          <w:sz w:val="24"/>
          <w:szCs w:val="24"/>
        </w:rPr>
        <w:t xml:space="preserve">Fonun mevcut kurucusunun Fon Tebliği’ne uyum sağlamak amacıyla devre ilişkin içtüzük değişikliği talebiyle en geç 01.07.2014 tarihi itibariyle Kurula </w:t>
      </w:r>
      <w:r w:rsidRPr="002912D3">
        <w:rPr>
          <w:rFonts w:ascii="Times New Roman" w:hAnsi="Times New Roman" w:cs="Times New Roman"/>
          <w:sz w:val="24"/>
          <w:szCs w:val="24"/>
        </w:rPr>
        <w:t xml:space="preserve">başvurmuş olması yeterli kabul edilecektir. </w:t>
      </w:r>
    </w:p>
    <w:p w:rsidR="002B6E3B" w:rsidRDefault="002B6E3B" w:rsidP="0006161B">
      <w:pPr>
        <w:pStyle w:val="ListParagraph"/>
        <w:numPr>
          <w:ilvl w:val="1"/>
          <w:numId w:val="40"/>
        </w:numPr>
        <w:autoSpaceDE w:val="0"/>
        <w:autoSpaceDN w:val="0"/>
        <w:spacing w:after="0" w:line="240" w:lineRule="auto"/>
        <w:jc w:val="both"/>
        <w:rPr>
          <w:rFonts w:ascii="Times New Roman" w:hAnsi="Times New Roman" w:cs="Times New Roman"/>
          <w:sz w:val="24"/>
          <w:szCs w:val="24"/>
        </w:rPr>
      </w:pPr>
      <w:r w:rsidRPr="002912D3">
        <w:rPr>
          <w:rFonts w:ascii="Times New Roman" w:hAnsi="Times New Roman" w:cs="Times New Roman"/>
          <w:sz w:val="24"/>
          <w:szCs w:val="24"/>
        </w:rPr>
        <w:t xml:space="preserve">Bu </w:t>
      </w:r>
      <w:r w:rsidR="00CB52EE" w:rsidRPr="002912D3">
        <w:rPr>
          <w:rFonts w:ascii="Times New Roman" w:hAnsi="Times New Roman" w:cs="Times New Roman"/>
          <w:sz w:val="24"/>
          <w:szCs w:val="24"/>
        </w:rPr>
        <w:t>f</w:t>
      </w:r>
      <w:r w:rsidRPr="002912D3">
        <w:rPr>
          <w:rFonts w:ascii="Times New Roman" w:hAnsi="Times New Roman" w:cs="Times New Roman"/>
          <w:sz w:val="24"/>
          <w:szCs w:val="24"/>
        </w:rPr>
        <w:t>onların kuruculuğunu devralacak portföy yönetim şirketinin</w:t>
      </w:r>
      <w:r w:rsidR="006143A4" w:rsidRPr="002912D3">
        <w:rPr>
          <w:rFonts w:ascii="Times New Roman" w:hAnsi="Times New Roman" w:cs="Times New Roman"/>
          <w:sz w:val="24"/>
          <w:szCs w:val="24"/>
        </w:rPr>
        <w:t xml:space="preserve"> de</w:t>
      </w:r>
      <w:r w:rsidRPr="002912D3">
        <w:rPr>
          <w:rFonts w:ascii="Times New Roman" w:hAnsi="Times New Roman" w:cs="Times New Roman"/>
          <w:sz w:val="24"/>
          <w:szCs w:val="24"/>
        </w:rPr>
        <w:t>, fonların devir tarihi itibariyle esas sözleşmesi ile yapı ve organizasyonunu PYŞ Tebliği düzenlemelerine uygun hale getir</w:t>
      </w:r>
      <w:r w:rsidR="002832DC" w:rsidRPr="002912D3">
        <w:rPr>
          <w:rFonts w:ascii="Times New Roman" w:hAnsi="Times New Roman" w:cs="Times New Roman"/>
          <w:sz w:val="24"/>
          <w:szCs w:val="24"/>
        </w:rPr>
        <w:t xml:space="preserve">mek üzere </w:t>
      </w:r>
      <w:r w:rsidR="006143A4" w:rsidRPr="002912D3">
        <w:rPr>
          <w:rFonts w:ascii="Times New Roman" w:hAnsi="Times New Roman" w:cs="Times New Roman"/>
          <w:sz w:val="24"/>
          <w:szCs w:val="24"/>
        </w:rPr>
        <w:t xml:space="preserve">en geç 01.07.2014 tarihi </w:t>
      </w:r>
      <w:r w:rsidR="00C95193">
        <w:rPr>
          <w:rFonts w:ascii="Times New Roman" w:hAnsi="Times New Roman" w:cs="Times New Roman"/>
          <w:sz w:val="24"/>
          <w:szCs w:val="24"/>
        </w:rPr>
        <w:t xml:space="preserve">itibarıyla </w:t>
      </w:r>
      <w:r w:rsidR="002832DC" w:rsidRPr="002912D3">
        <w:rPr>
          <w:rFonts w:ascii="Times New Roman" w:hAnsi="Times New Roman" w:cs="Times New Roman"/>
          <w:sz w:val="24"/>
          <w:szCs w:val="24"/>
        </w:rPr>
        <w:t>Kurula başvurmuş olma</w:t>
      </w:r>
      <w:r w:rsidR="00C95193">
        <w:rPr>
          <w:rFonts w:ascii="Times New Roman" w:hAnsi="Times New Roman" w:cs="Times New Roman"/>
          <w:sz w:val="24"/>
          <w:szCs w:val="24"/>
        </w:rPr>
        <w:t>s</w:t>
      </w:r>
      <w:r w:rsidR="002832DC" w:rsidRPr="002912D3">
        <w:rPr>
          <w:rFonts w:ascii="Times New Roman" w:hAnsi="Times New Roman" w:cs="Times New Roman"/>
          <w:sz w:val="24"/>
          <w:szCs w:val="24"/>
        </w:rPr>
        <w:t xml:space="preserve">ı </w:t>
      </w:r>
      <w:r w:rsidRPr="002912D3">
        <w:rPr>
          <w:rFonts w:ascii="Times New Roman" w:hAnsi="Times New Roman" w:cs="Times New Roman"/>
          <w:sz w:val="24"/>
          <w:szCs w:val="24"/>
        </w:rPr>
        <w:t xml:space="preserve">gerekmektedir. </w:t>
      </w:r>
    </w:p>
    <w:p w:rsidR="00810AB9" w:rsidRPr="002912D3" w:rsidRDefault="00810AB9" w:rsidP="00810AB9">
      <w:pPr>
        <w:pStyle w:val="ListParagraph"/>
        <w:autoSpaceDE w:val="0"/>
        <w:autoSpaceDN w:val="0"/>
        <w:spacing w:after="0" w:line="240" w:lineRule="auto"/>
        <w:ind w:left="1647"/>
        <w:jc w:val="both"/>
        <w:rPr>
          <w:rFonts w:ascii="Times New Roman" w:hAnsi="Times New Roman" w:cs="Times New Roman"/>
          <w:sz w:val="24"/>
          <w:szCs w:val="24"/>
        </w:rPr>
      </w:pPr>
    </w:p>
    <w:p w:rsidR="00E05E92" w:rsidRPr="00925E01" w:rsidRDefault="009922A5" w:rsidP="0006161B">
      <w:pPr>
        <w:pStyle w:val="ListParagraph"/>
        <w:numPr>
          <w:ilvl w:val="0"/>
          <w:numId w:val="40"/>
        </w:numPr>
        <w:autoSpaceDE w:val="0"/>
        <w:autoSpaceDN w:val="0"/>
        <w:spacing w:after="0" w:line="240" w:lineRule="auto"/>
        <w:ind w:left="993" w:hanging="426"/>
        <w:jc w:val="both"/>
        <w:rPr>
          <w:rFonts w:ascii="Times New Roman" w:hAnsi="Times New Roman" w:cs="Times New Roman"/>
          <w:sz w:val="24"/>
          <w:szCs w:val="24"/>
        </w:rPr>
      </w:pPr>
      <w:r w:rsidRPr="00925E01">
        <w:rPr>
          <w:rFonts w:ascii="Times New Roman" w:hAnsi="Times New Roman" w:cs="Times New Roman"/>
          <w:sz w:val="24"/>
          <w:szCs w:val="24"/>
        </w:rPr>
        <w:t xml:space="preserve">Fon Tebliği’nin Geçici 2. maddesi çerçevesinde, 01.07.2014 tarihinden önce yapılmış ancak Kurul tarafından </w:t>
      </w:r>
      <w:r w:rsidR="00A24BA0">
        <w:rPr>
          <w:rFonts w:ascii="Times New Roman" w:hAnsi="Times New Roman" w:cs="Times New Roman"/>
          <w:sz w:val="24"/>
          <w:szCs w:val="24"/>
        </w:rPr>
        <w:t>sonuçlandırılmamış</w:t>
      </w:r>
      <w:r w:rsidRPr="00925E01">
        <w:rPr>
          <w:rFonts w:ascii="Times New Roman" w:hAnsi="Times New Roman" w:cs="Times New Roman"/>
          <w:sz w:val="24"/>
          <w:szCs w:val="24"/>
        </w:rPr>
        <w:t xml:space="preserve"> </w:t>
      </w:r>
      <w:r w:rsidR="00A24BA0">
        <w:rPr>
          <w:rFonts w:ascii="Times New Roman" w:hAnsi="Times New Roman" w:cs="Times New Roman"/>
          <w:sz w:val="24"/>
          <w:szCs w:val="24"/>
        </w:rPr>
        <w:t xml:space="preserve">olan </w:t>
      </w:r>
      <w:r w:rsidRPr="00925E01">
        <w:rPr>
          <w:rFonts w:ascii="Times New Roman" w:hAnsi="Times New Roman" w:cs="Times New Roman"/>
          <w:sz w:val="24"/>
          <w:szCs w:val="24"/>
        </w:rPr>
        <w:t>başvurular Fon Tebliği hükümleri</w:t>
      </w:r>
      <w:r w:rsidR="00A24BA0">
        <w:rPr>
          <w:rFonts w:ascii="Times New Roman" w:hAnsi="Times New Roman" w:cs="Times New Roman"/>
          <w:sz w:val="24"/>
          <w:szCs w:val="24"/>
        </w:rPr>
        <w:t>ne göre</w:t>
      </w:r>
      <w:r w:rsidRPr="00925E01">
        <w:rPr>
          <w:rFonts w:ascii="Times New Roman" w:hAnsi="Times New Roman" w:cs="Times New Roman"/>
          <w:sz w:val="24"/>
          <w:szCs w:val="24"/>
        </w:rPr>
        <w:t xml:space="preserve"> sonuçlandırılacaktır</w:t>
      </w:r>
      <w:r w:rsidR="00E05E92" w:rsidRPr="00925E01">
        <w:rPr>
          <w:rFonts w:ascii="Times New Roman" w:hAnsi="Times New Roman" w:cs="Times New Roman"/>
          <w:sz w:val="24"/>
          <w:szCs w:val="24"/>
        </w:rPr>
        <w:t xml:space="preserve">. </w:t>
      </w:r>
      <w:r w:rsidR="00E1726D" w:rsidRPr="00925E01">
        <w:rPr>
          <w:rFonts w:ascii="Times New Roman" w:hAnsi="Times New Roman" w:cs="Times New Roman"/>
          <w:sz w:val="24"/>
          <w:szCs w:val="24"/>
        </w:rPr>
        <w:t>01.07.2015’e kadar geçerli olan uyum süresinden yararlanan fonlar tarafından ise uyum süresi boyunca Kurula yalnızca Fon Tebliği’ne uyum veya tasfiye başvurusu yapılabilecektir.</w:t>
      </w:r>
    </w:p>
    <w:p w:rsidR="009922A5" w:rsidRPr="009922A5" w:rsidRDefault="009922A5" w:rsidP="008E7A4D">
      <w:pPr>
        <w:ind w:left="567"/>
      </w:pPr>
      <w:r w:rsidRPr="008E7A4D">
        <w:rPr>
          <w:rFonts w:ascii="Times New Roman" w:hAnsi="Times New Roman" w:cs="Times New Roman"/>
          <w:sz w:val="24"/>
          <w:szCs w:val="24"/>
        </w:rPr>
        <w:t xml:space="preserve"> </w:t>
      </w:r>
    </w:p>
    <w:p w:rsidR="002B6E3B" w:rsidRPr="009C6AEB" w:rsidRDefault="002B6E3B" w:rsidP="0006161B">
      <w:pPr>
        <w:pStyle w:val="ListParagraph"/>
        <w:numPr>
          <w:ilvl w:val="0"/>
          <w:numId w:val="40"/>
        </w:numPr>
        <w:autoSpaceDE w:val="0"/>
        <w:autoSpaceDN w:val="0"/>
        <w:spacing w:after="0" w:line="240" w:lineRule="auto"/>
        <w:jc w:val="both"/>
        <w:rPr>
          <w:rFonts w:ascii="Times New Roman" w:hAnsi="Times New Roman" w:cs="Times New Roman"/>
          <w:sz w:val="24"/>
          <w:szCs w:val="24"/>
        </w:rPr>
      </w:pPr>
      <w:r w:rsidRPr="009C6AEB">
        <w:rPr>
          <w:rFonts w:ascii="Times New Roman" w:hAnsi="Times New Roman" w:cs="Times New Roman"/>
          <w:sz w:val="24"/>
          <w:szCs w:val="24"/>
        </w:rPr>
        <w:t>Fon Tebliği’nin yürürlüğe gireceği 01.07.2014 tarihinden sonra ise uyum amaçlı içtüzük değişikliği yapılmadan önce</w:t>
      </w:r>
      <w:r w:rsidR="00CB52EE">
        <w:rPr>
          <w:rFonts w:ascii="Times New Roman" w:hAnsi="Times New Roman" w:cs="Times New Roman"/>
          <w:sz w:val="24"/>
          <w:szCs w:val="24"/>
        </w:rPr>
        <w:t>;</w:t>
      </w:r>
    </w:p>
    <w:p w:rsidR="002B6E3B" w:rsidRPr="009C6AEB" w:rsidRDefault="002B6E3B" w:rsidP="0006161B">
      <w:pPr>
        <w:pStyle w:val="ListParagraph"/>
        <w:numPr>
          <w:ilvl w:val="1"/>
          <w:numId w:val="40"/>
        </w:numPr>
        <w:autoSpaceDE w:val="0"/>
        <w:autoSpaceDN w:val="0"/>
        <w:spacing w:after="0" w:line="240" w:lineRule="auto"/>
        <w:jc w:val="both"/>
        <w:rPr>
          <w:rFonts w:ascii="Times New Roman" w:hAnsi="Times New Roman" w:cs="Times New Roman"/>
          <w:sz w:val="24"/>
          <w:szCs w:val="24"/>
        </w:rPr>
      </w:pPr>
      <w:r w:rsidRPr="009C6AEB">
        <w:rPr>
          <w:rFonts w:ascii="Times New Roman" w:hAnsi="Times New Roman" w:cs="Times New Roman"/>
          <w:sz w:val="24"/>
          <w:szCs w:val="24"/>
        </w:rPr>
        <w:t xml:space="preserve">Fon Tebliği’nde belirtilen sınırlamalar çerçevesinde fon hesabına mevduat/katılma hesabı açılması, fon katılma payları (borsa yatırım fonu dahil) ile menkul kıymet yatırım ortaklıklarının paylarına yatırım yapılması, </w:t>
      </w:r>
    </w:p>
    <w:p w:rsidR="002B6E3B" w:rsidRPr="009C6AEB" w:rsidRDefault="002B6E3B" w:rsidP="0006161B">
      <w:pPr>
        <w:pStyle w:val="ListParagraph"/>
        <w:numPr>
          <w:ilvl w:val="1"/>
          <w:numId w:val="40"/>
        </w:numPr>
        <w:autoSpaceDE w:val="0"/>
        <w:autoSpaceDN w:val="0"/>
        <w:spacing w:after="0" w:line="240" w:lineRule="auto"/>
        <w:jc w:val="both"/>
        <w:rPr>
          <w:rFonts w:ascii="Times New Roman" w:hAnsi="Times New Roman" w:cs="Times New Roman"/>
          <w:sz w:val="24"/>
          <w:szCs w:val="24"/>
        </w:rPr>
      </w:pPr>
      <w:r w:rsidRPr="009C6AEB">
        <w:rPr>
          <w:rFonts w:ascii="Times New Roman" w:hAnsi="Times New Roman" w:cs="Times New Roman"/>
          <w:sz w:val="24"/>
          <w:szCs w:val="24"/>
        </w:rPr>
        <w:t xml:space="preserve">İpotek ve varlık teminatlı menkul kıymetlere yapılacak yatırımlar ile varlık kiralama şirketleri tarafından ihraç edilen sermaye piyasası araçları için ihraççı sınırının  %25 olarak uygulanması, </w:t>
      </w:r>
    </w:p>
    <w:p w:rsidR="002B6E3B" w:rsidRDefault="002B6E3B" w:rsidP="0006161B">
      <w:pPr>
        <w:pStyle w:val="ListParagraph"/>
        <w:numPr>
          <w:ilvl w:val="1"/>
          <w:numId w:val="40"/>
        </w:numPr>
        <w:autoSpaceDE w:val="0"/>
        <w:autoSpaceDN w:val="0"/>
        <w:spacing w:after="0" w:line="240" w:lineRule="auto"/>
        <w:jc w:val="both"/>
        <w:rPr>
          <w:rFonts w:ascii="Times New Roman" w:hAnsi="Times New Roman" w:cs="Times New Roman"/>
          <w:sz w:val="24"/>
          <w:szCs w:val="24"/>
        </w:rPr>
      </w:pPr>
      <w:r w:rsidRPr="009C6AEB">
        <w:rPr>
          <w:rFonts w:ascii="Times New Roman" w:hAnsi="Times New Roman" w:cs="Times New Roman"/>
          <w:sz w:val="24"/>
          <w:szCs w:val="24"/>
        </w:rPr>
        <w:t>Fon portföyündeki kıymetli madenlerin</w:t>
      </w:r>
      <w:r w:rsidR="0006161B">
        <w:rPr>
          <w:rFonts w:ascii="Times New Roman" w:hAnsi="Times New Roman" w:cs="Times New Roman"/>
          <w:sz w:val="24"/>
          <w:szCs w:val="24"/>
        </w:rPr>
        <w:t xml:space="preserve"> </w:t>
      </w:r>
      <w:r w:rsidR="00CB52EE" w:rsidRPr="009C6AEB">
        <w:rPr>
          <w:rFonts w:ascii="Times New Roman" w:hAnsi="Times New Roman" w:cs="Times New Roman"/>
          <w:sz w:val="24"/>
          <w:szCs w:val="24"/>
        </w:rPr>
        <w:t>Türkiye’de</w:t>
      </w:r>
      <w:r w:rsidR="0006161B">
        <w:rPr>
          <w:rFonts w:ascii="Times New Roman" w:hAnsi="Times New Roman" w:cs="Times New Roman"/>
          <w:sz w:val="24"/>
          <w:szCs w:val="24"/>
        </w:rPr>
        <w:t xml:space="preserve"> </w:t>
      </w:r>
      <w:r w:rsidR="00CB52EE" w:rsidRPr="009C6AEB">
        <w:rPr>
          <w:rFonts w:ascii="Times New Roman" w:hAnsi="Times New Roman" w:cs="Times New Roman"/>
          <w:sz w:val="24"/>
          <w:szCs w:val="24"/>
        </w:rPr>
        <w:t>kurulu</w:t>
      </w:r>
      <w:r w:rsidR="0006161B">
        <w:rPr>
          <w:rFonts w:ascii="Times New Roman" w:hAnsi="Times New Roman" w:cs="Times New Roman"/>
          <w:sz w:val="24"/>
          <w:szCs w:val="24"/>
        </w:rPr>
        <w:t xml:space="preserve"> </w:t>
      </w:r>
      <w:r w:rsidR="00CB52EE" w:rsidRPr="009C6AEB">
        <w:rPr>
          <w:rFonts w:ascii="Times New Roman" w:hAnsi="Times New Roman" w:cs="Times New Roman"/>
          <w:sz w:val="24"/>
          <w:szCs w:val="24"/>
        </w:rPr>
        <w:t>borsalarda ödünç verilmesi</w:t>
      </w:r>
      <w:r w:rsidR="00CB52EE">
        <w:rPr>
          <w:rFonts w:ascii="Times New Roman" w:hAnsi="Times New Roman" w:cs="Times New Roman"/>
          <w:sz w:val="24"/>
          <w:szCs w:val="24"/>
        </w:rPr>
        <w:t>ne ilişkin üst sınırın kıymetli madenlerin</w:t>
      </w:r>
      <w:r w:rsidR="0006161B">
        <w:rPr>
          <w:rFonts w:ascii="Times New Roman" w:hAnsi="Times New Roman" w:cs="Times New Roman"/>
          <w:sz w:val="24"/>
          <w:szCs w:val="24"/>
        </w:rPr>
        <w:t xml:space="preserve"> </w:t>
      </w:r>
      <w:r w:rsidRPr="009C6AEB">
        <w:rPr>
          <w:rFonts w:ascii="Times New Roman" w:hAnsi="Times New Roman" w:cs="Times New Roman"/>
          <w:sz w:val="24"/>
          <w:szCs w:val="24"/>
        </w:rPr>
        <w:t xml:space="preserve">piyasa değerlerinin %75’i </w:t>
      </w:r>
      <w:r w:rsidR="00CB52EE">
        <w:rPr>
          <w:rFonts w:ascii="Times New Roman" w:hAnsi="Times New Roman" w:cs="Times New Roman"/>
          <w:sz w:val="24"/>
          <w:szCs w:val="24"/>
        </w:rPr>
        <w:t>olarak uygulanması</w:t>
      </w:r>
      <w:r w:rsidR="00317609">
        <w:rPr>
          <w:rFonts w:ascii="Times New Roman" w:hAnsi="Times New Roman" w:cs="Times New Roman"/>
          <w:sz w:val="24"/>
          <w:szCs w:val="24"/>
        </w:rPr>
        <w:t>,</w:t>
      </w:r>
    </w:p>
    <w:p w:rsidR="00317609" w:rsidRPr="00790CE9" w:rsidRDefault="00317609" w:rsidP="0006161B">
      <w:pPr>
        <w:pStyle w:val="ListParagraph"/>
        <w:numPr>
          <w:ilvl w:val="1"/>
          <w:numId w:val="40"/>
        </w:numPr>
        <w:autoSpaceDE w:val="0"/>
        <w:autoSpaceDN w:val="0"/>
        <w:spacing w:after="0" w:line="240" w:lineRule="auto"/>
        <w:jc w:val="both"/>
        <w:rPr>
          <w:rFonts w:ascii="Times New Roman" w:hAnsi="Times New Roman" w:cs="Times New Roman"/>
          <w:sz w:val="24"/>
          <w:szCs w:val="24"/>
        </w:rPr>
      </w:pPr>
      <w:r w:rsidRPr="00790CE9">
        <w:rPr>
          <w:rFonts w:ascii="Times New Roman" w:hAnsi="Times New Roman" w:cs="Times New Roman"/>
          <w:sz w:val="24"/>
          <w:szCs w:val="24"/>
        </w:rPr>
        <w:t>Fon katılma paylarının alım satımının TEF</w:t>
      </w:r>
      <w:r w:rsidR="00935193">
        <w:rPr>
          <w:rFonts w:ascii="Times New Roman" w:hAnsi="Times New Roman" w:cs="Times New Roman"/>
          <w:sz w:val="24"/>
          <w:szCs w:val="24"/>
        </w:rPr>
        <w:t>AS</w:t>
      </w:r>
      <w:r w:rsidRPr="00790CE9">
        <w:rPr>
          <w:rFonts w:ascii="Times New Roman" w:hAnsi="Times New Roman" w:cs="Times New Roman"/>
          <w:sz w:val="24"/>
          <w:szCs w:val="24"/>
        </w:rPr>
        <w:t>’</w:t>
      </w:r>
      <w:r w:rsidR="00935193">
        <w:rPr>
          <w:rFonts w:ascii="Times New Roman" w:hAnsi="Times New Roman" w:cs="Times New Roman"/>
          <w:sz w:val="24"/>
          <w:szCs w:val="24"/>
        </w:rPr>
        <w:t>ta</w:t>
      </w:r>
      <w:r w:rsidRPr="00790CE9">
        <w:rPr>
          <w:rFonts w:ascii="Times New Roman" w:hAnsi="Times New Roman" w:cs="Times New Roman"/>
          <w:sz w:val="24"/>
          <w:szCs w:val="24"/>
        </w:rPr>
        <w:t xml:space="preserve"> uygulanan alım satım kuralları </w:t>
      </w:r>
      <w:r w:rsidR="00205F73" w:rsidRPr="00790CE9">
        <w:rPr>
          <w:rFonts w:ascii="Times New Roman" w:hAnsi="Times New Roman" w:cs="Times New Roman"/>
          <w:sz w:val="24"/>
          <w:szCs w:val="24"/>
        </w:rPr>
        <w:t xml:space="preserve">(saatler, marj vb.)  </w:t>
      </w:r>
      <w:r w:rsidRPr="00790CE9">
        <w:rPr>
          <w:rFonts w:ascii="Times New Roman" w:hAnsi="Times New Roman" w:cs="Times New Roman"/>
          <w:sz w:val="24"/>
          <w:szCs w:val="24"/>
        </w:rPr>
        <w:t>çerçevesinde gerçekleştirilmesi</w:t>
      </w:r>
    </w:p>
    <w:p w:rsidR="00280CD8" w:rsidRDefault="00280CD8" w:rsidP="00280CD8">
      <w:pPr>
        <w:spacing w:line="240" w:lineRule="auto"/>
        <w:ind w:left="927"/>
        <w:jc w:val="both"/>
        <w:rPr>
          <w:rFonts w:ascii="Times New Roman" w:hAnsi="Times New Roman" w:cs="Times New Roman"/>
          <w:sz w:val="24"/>
          <w:szCs w:val="24"/>
        </w:rPr>
      </w:pPr>
      <w:r w:rsidRPr="00790CE9">
        <w:rPr>
          <w:rFonts w:ascii="Times New Roman" w:hAnsi="Times New Roman" w:cs="Times New Roman"/>
          <w:sz w:val="24"/>
          <w:szCs w:val="24"/>
        </w:rPr>
        <w:t>mümkündür.</w:t>
      </w:r>
      <w:r>
        <w:rPr>
          <w:rFonts w:ascii="Times New Roman" w:hAnsi="Times New Roman" w:cs="Times New Roman"/>
          <w:sz w:val="24"/>
          <w:szCs w:val="24"/>
        </w:rPr>
        <w:t xml:space="preserve"> </w:t>
      </w:r>
    </w:p>
    <w:p w:rsidR="00280CD8" w:rsidRDefault="00280CD8" w:rsidP="000F5E82">
      <w:pPr>
        <w:pStyle w:val="Default"/>
        <w:ind w:left="927"/>
        <w:jc w:val="both"/>
      </w:pPr>
    </w:p>
    <w:p w:rsidR="00280CD8" w:rsidRPr="009006DB" w:rsidRDefault="00280CD8" w:rsidP="00406025">
      <w:pPr>
        <w:pStyle w:val="ListParagraph"/>
        <w:numPr>
          <w:ilvl w:val="0"/>
          <w:numId w:val="40"/>
        </w:numPr>
        <w:spacing w:line="240" w:lineRule="auto"/>
        <w:jc w:val="both"/>
        <w:rPr>
          <w:rFonts w:ascii="Times New Roman" w:hAnsi="Times New Roman" w:cs="Times New Roman"/>
          <w:sz w:val="24"/>
          <w:szCs w:val="24"/>
        </w:rPr>
      </w:pPr>
      <w:r w:rsidRPr="009006DB">
        <w:rPr>
          <w:rFonts w:ascii="Times New Roman" w:hAnsi="Times New Roman" w:cs="Times New Roman"/>
          <w:sz w:val="24"/>
          <w:szCs w:val="24"/>
        </w:rPr>
        <w:t xml:space="preserve">01.07.2015 tarihine kadar geçerli olan uyum süresinden yararlanabilecek fonlara ilişkin olarak; </w:t>
      </w:r>
      <w:r w:rsidR="009006DB">
        <w:rPr>
          <w:rFonts w:ascii="Times New Roman" w:hAnsi="Times New Roman" w:cs="Times New Roman"/>
          <w:sz w:val="24"/>
          <w:szCs w:val="24"/>
        </w:rPr>
        <w:t xml:space="preserve"> </w:t>
      </w:r>
      <w:r w:rsidRPr="009006DB">
        <w:rPr>
          <w:rFonts w:ascii="Times New Roman" w:hAnsi="Times New Roman" w:cs="Times New Roman"/>
          <w:sz w:val="24"/>
          <w:szCs w:val="24"/>
        </w:rPr>
        <w:t>Fon Tebliği’ne uyum sağlanması amacıyla yapılacak başvuru öncesinde portföy yönetim şirketleri ve diğer ilgili kuruluşlar nezdinde fonlara ilişkin gerekli yapı ve organizasyonun (örneğin, yeni kurucunun yeni PYŞ Tebliği hükümlerine uyum sağlamış olması ve portföy saklayıcısının belirlenmesi) oluşturulmuş olması ve yeni yapıya ilişkin gerekli değişikliklerin gerçekleştirilebilmesi için Kurul internet sitesinde yayımlanan ilgili başvuru formları ve eklerinde yer alan bilgi ve belgelerin eksiksiz olarak Kurula iletilmesi gerekir.</w:t>
      </w:r>
      <w:r w:rsidRPr="009C6AEB">
        <w:t xml:space="preserve"> </w:t>
      </w:r>
    </w:p>
    <w:p w:rsidR="00280CD8" w:rsidRDefault="00280CD8" w:rsidP="00280CD8">
      <w:pPr>
        <w:pStyle w:val="ListParagraph"/>
        <w:spacing w:line="240" w:lineRule="auto"/>
        <w:ind w:left="927"/>
        <w:jc w:val="both"/>
        <w:rPr>
          <w:rFonts w:ascii="Times New Roman" w:eastAsia="Times New Roman" w:hAnsi="Times New Roman" w:cs="Times New Roman"/>
          <w:color w:val="000000"/>
          <w:sz w:val="24"/>
          <w:szCs w:val="24"/>
          <w:lang w:eastAsia="tr-TR"/>
        </w:rPr>
      </w:pPr>
    </w:p>
    <w:p w:rsidR="00871A69" w:rsidRPr="009922A5" w:rsidRDefault="00871A69" w:rsidP="0006161B">
      <w:pPr>
        <w:pStyle w:val="ListParagraph"/>
        <w:numPr>
          <w:ilvl w:val="0"/>
          <w:numId w:val="40"/>
        </w:numPr>
        <w:spacing w:line="240" w:lineRule="auto"/>
        <w:jc w:val="both"/>
        <w:rPr>
          <w:rFonts w:ascii="Times New Roman" w:eastAsia="Times New Roman" w:hAnsi="Times New Roman" w:cs="Times New Roman"/>
          <w:color w:val="000000"/>
          <w:sz w:val="24"/>
          <w:szCs w:val="24"/>
          <w:lang w:eastAsia="tr-TR"/>
        </w:rPr>
      </w:pPr>
      <w:r w:rsidRPr="00871A69">
        <w:rPr>
          <w:rFonts w:ascii="Times New Roman" w:eastAsia="Times New Roman" w:hAnsi="Times New Roman" w:cs="Times New Roman"/>
          <w:color w:val="000000"/>
          <w:sz w:val="24"/>
          <w:szCs w:val="24"/>
          <w:lang w:eastAsia="tr-TR"/>
        </w:rPr>
        <w:t>Halihazırda, belirli bir yatırımcı kitlesine satılan ve unvanlarında “Özel Fon” ibaresi yer almayan fonlar</w:t>
      </w:r>
      <w:r w:rsidR="00444F6B">
        <w:rPr>
          <w:rFonts w:ascii="Times New Roman" w:eastAsia="Times New Roman" w:hAnsi="Times New Roman" w:cs="Times New Roman"/>
          <w:color w:val="000000"/>
          <w:sz w:val="24"/>
          <w:szCs w:val="24"/>
          <w:lang w:eastAsia="tr-TR"/>
        </w:rPr>
        <w:t xml:space="preserve"> tarafından,</w:t>
      </w:r>
      <w:r w:rsidR="0064163B">
        <w:rPr>
          <w:rFonts w:ascii="Times New Roman" w:eastAsia="Times New Roman" w:hAnsi="Times New Roman" w:cs="Times New Roman"/>
          <w:color w:val="000000"/>
          <w:sz w:val="24"/>
          <w:szCs w:val="24"/>
          <w:lang w:eastAsia="tr-TR"/>
        </w:rPr>
        <w:t xml:space="preserve"> fonların </w:t>
      </w:r>
      <w:r w:rsidR="00935193" w:rsidRPr="00790CE9">
        <w:rPr>
          <w:rFonts w:ascii="Times New Roman" w:hAnsi="Times New Roman" w:cs="Times New Roman"/>
          <w:sz w:val="24"/>
          <w:szCs w:val="24"/>
        </w:rPr>
        <w:t>TEF</w:t>
      </w:r>
      <w:r w:rsidR="00935193">
        <w:rPr>
          <w:rFonts w:ascii="Times New Roman" w:hAnsi="Times New Roman" w:cs="Times New Roman"/>
          <w:sz w:val="24"/>
          <w:szCs w:val="24"/>
        </w:rPr>
        <w:t>AS</w:t>
      </w:r>
      <w:r w:rsidR="00935193" w:rsidRPr="00790CE9">
        <w:rPr>
          <w:rFonts w:ascii="Times New Roman" w:hAnsi="Times New Roman" w:cs="Times New Roman"/>
          <w:sz w:val="24"/>
          <w:szCs w:val="24"/>
        </w:rPr>
        <w:t>’</w:t>
      </w:r>
      <w:r w:rsidR="00935193">
        <w:rPr>
          <w:rFonts w:ascii="Times New Roman" w:hAnsi="Times New Roman" w:cs="Times New Roman"/>
          <w:sz w:val="24"/>
          <w:szCs w:val="24"/>
        </w:rPr>
        <w:t>ta</w:t>
      </w:r>
      <w:r w:rsidR="0064163B">
        <w:rPr>
          <w:rFonts w:ascii="Times New Roman" w:eastAsia="Times New Roman" w:hAnsi="Times New Roman" w:cs="Times New Roman"/>
          <w:color w:val="000000"/>
          <w:sz w:val="24"/>
          <w:szCs w:val="24"/>
          <w:lang w:eastAsia="tr-TR"/>
        </w:rPr>
        <w:t xml:space="preserve"> alım satımına ilişkin olarak </w:t>
      </w:r>
      <w:r w:rsidR="00FE4E2D">
        <w:rPr>
          <w:rFonts w:ascii="Times New Roman" w:eastAsia="Times New Roman" w:hAnsi="Times New Roman" w:cs="Times New Roman"/>
          <w:color w:val="000000"/>
          <w:sz w:val="24"/>
          <w:szCs w:val="24"/>
          <w:lang w:eastAsia="tr-TR"/>
        </w:rPr>
        <w:t xml:space="preserve">bu </w:t>
      </w:r>
      <w:r w:rsidR="0064163B">
        <w:rPr>
          <w:rFonts w:ascii="Times New Roman" w:eastAsia="Times New Roman" w:hAnsi="Times New Roman" w:cs="Times New Roman"/>
          <w:color w:val="000000"/>
          <w:sz w:val="24"/>
          <w:szCs w:val="24"/>
          <w:lang w:eastAsia="tr-TR"/>
        </w:rPr>
        <w:t xml:space="preserve">Rehber’in </w:t>
      </w:r>
      <w:r w:rsidR="0006161B" w:rsidRPr="009006DB">
        <w:rPr>
          <w:rFonts w:ascii="Times New Roman" w:eastAsia="Times New Roman" w:hAnsi="Times New Roman" w:cs="Times New Roman"/>
          <w:color w:val="000000"/>
          <w:sz w:val="24"/>
          <w:szCs w:val="24"/>
          <w:lang w:eastAsia="tr-TR"/>
        </w:rPr>
        <w:t>(</w:t>
      </w:r>
      <w:r w:rsidR="00DE7B3F" w:rsidRPr="009006DB">
        <w:rPr>
          <w:rFonts w:ascii="Times New Roman" w:eastAsia="Times New Roman" w:hAnsi="Times New Roman" w:cs="Times New Roman"/>
          <w:color w:val="000000"/>
          <w:sz w:val="24"/>
          <w:szCs w:val="24"/>
          <w:lang w:eastAsia="tr-TR"/>
        </w:rPr>
        <w:t>6.</w:t>
      </w:r>
      <w:r w:rsidR="009006DB" w:rsidRPr="009006DB">
        <w:rPr>
          <w:rFonts w:ascii="Times New Roman" w:eastAsia="Times New Roman" w:hAnsi="Times New Roman" w:cs="Times New Roman"/>
          <w:color w:val="000000"/>
          <w:sz w:val="24"/>
          <w:szCs w:val="24"/>
          <w:lang w:eastAsia="tr-TR"/>
        </w:rPr>
        <w:t>8</w:t>
      </w:r>
      <w:r w:rsidR="009922A5" w:rsidRPr="009006DB">
        <w:rPr>
          <w:rFonts w:ascii="Times New Roman" w:eastAsia="Times New Roman" w:hAnsi="Times New Roman" w:cs="Times New Roman"/>
          <w:color w:val="000000"/>
          <w:sz w:val="24"/>
          <w:szCs w:val="24"/>
          <w:lang w:eastAsia="tr-TR"/>
        </w:rPr>
        <w:t>.</w:t>
      </w:r>
      <w:r w:rsidR="0006161B" w:rsidRPr="009006DB">
        <w:rPr>
          <w:rFonts w:ascii="Times New Roman" w:eastAsia="Times New Roman" w:hAnsi="Times New Roman" w:cs="Times New Roman"/>
          <w:color w:val="000000"/>
          <w:sz w:val="24"/>
          <w:szCs w:val="24"/>
          <w:lang w:eastAsia="tr-TR"/>
        </w:rPr>
        <w:t xml:space="preserve">) </w:t>
      </w:r>
      <w:r w:rsidR="00DE7B3F" w:rsidRPr="009006DB">
        <w:rPr>
          <w:rFonts w:ascii="Times New Roman" w:eastAsia="Times New Roman" w:hAnsi="Times New Roman" w:cs="Times New Roman"/>
          <w:color w:val="000000"/>
          <w:sz w:val="24"/>
          <w:szCs w:val="24"/>
          <w:lang w:eastAsia="tr-TR"/>
        </w:rPr>
        <w:t>nolu</w:t>
      </w:r>
      <w:r w:rsidR="0006161B" w:rsidRPr="009006DB">
        <w:rPr>
          <w:rFonts w:ascii="Times New Roman" w:eastAsia="Times New Roman" w:hAnsi="Times New Roman" w:cs="Times New Roman"/>
          <w:color w:val="000000"/>
          <w:sz w:val="24"/>
          <w:szCs w:val="24"/>
          <w:lang w:eastAsia="tr-TR"/>
        </w:rPr>
        <w:t xml:space="preserve"> </w:t>
      </w:r>
      <w:r w:rsidR="0064163B" w:rsidRPr="009006DB">
        <w:rPr>
          <w:rFonts w:ascii="Times New Roman" w:eastAsia="Times New Roman" w:hAnsi="Times New Roman" w:cs="Times New Roman"/>
          <w:color w:val="000000"/>
          <w:sz w:val="24"/>
          <w:szCs w:val="24"/>
          <w:lang w:eastAsia="tr-TR"/>
        </w:rPr>
        <w:t>bölümünde belirlenen</w:t>
      </w:r>
      <w:r w:rsidR="0064163B">
        <w:rPr>
          <w:rFonts w:ascii="Times New Roman" w:eastAsia="Times New Roman" w:hAnsi="Times New Roman" w:cs="Times New Roman"/>
          <w:color w:val="000000"/>
          <w:sz w:val="24"/>
          <w:szCs w:val="24"/>
          <w:lang w:eastAsia="tr-TR"/>
        </w:rPr>
        <w:t xml:space="preserve"> esaslar çerçevesinde </w:t>
      </w:r>
      <w:r w:rsidR="00935193" w:rsidRPr="00790CE9">
        <w:rPr>
          <w:rFonts w:ascii="Times New Roman" w:hAnsi="Times New Roman" w:cs="Times New Roman"/>
          <w:sz w:val="24"/>
          <w:szCs w:val="24"/>
        </w:rPr>
        <w:t>TEF</w:t>
      </w:r>
      <w:r w:rsidR="00935193">
        <w:rPr>
          <w:rFonts w:ascii="Times New Roman" w:hAnsi="Times New Roman" w:cs="Times New Roman"/>
          <w:sz w:val="24"/>
          <w:szCs w:val="24"/>
        </w:rPr>
        <w:t>AS</w:t>
      </w:r>
      <w:r w:rsidR="00935193" w:rsidRPr="00790CE9">
        <w:rPr>
          <w:rFonts w:ascii="Times New Roman" w:hAnsi="Times New Roman" w:cs="Times New Roman"/>
          <w:sz w:val="24"/>
          <w:szCs w:val="24"/>
        </w:rPr>
        <w:t>’</w:t>
      </w:r>
      <w:r w:rsidR="00935193">
        <w:rPr>
          <w:rFonts w:ascii="Times New Roman" w:hAnsi="Times New Roman" w:cs="Times New Roman"/>
          <w:sz w:val="24"/>
          <w:szCs w:val="24"/>
        </w:rPr>
        <w:t xml:space="preserve">ta </w:t>
      </w:r>
      <w:r w:rsidRPr="00871A69">
        <w:rPr>
          <w:rFonts w:ascii="Times New Roman" w:eastAsia="Times New Roman" w:hAnsi="Times New Roman" w:cs="Times New Roman"/>
          <w:color w:val="000000"/>
          <w:sz w:val="24"/>
          <w:szCs w:val="24"/>
          <w:lang w:eastAsia="tr-TR"/>
        </w:rPr>
        <w:t>katılma payı alım satım işlemlerinin</w:t>
      </w:r>
      <w:r w:rsidR="0006161B">
        <w:rPr>
          <w:rFonts w:ascii="Times New Roman" w:eastAsia="Times New Roman" w:hAnsi="Times New Roman" w:cs="Times New Roman"/>
          <w:color w:val="000000"/>
          <w:sz w:val="24"/>
          <w:szCs w:val="24"/>
          <w:lang w:eastAsia="tr-TR"/>
        </w:rPr>
        <w:t xml:space="preserve"> </w:t>
      </w:r>
      <w:r w:rsidR="00DE7B3F">
        <w:rPr>
          <w:rFonts w:ascii="Times New Roman" w:eastAsia="Times New Roman" w:hAnsi="Times New Roman" w:cs="Times New Roman"/>
          <w:color w:val="000000"/>
          <w:sz w:val="24"/>
          <w:szCs w:val="24"/>
          <w:lang w:eastAsia="tr-TR"/>
        </w:rPr>
        <w:t>gerçekleştirileceği</w:t>
      </w:r>
      <w:r w:rsidRPr="00DE7B3F">
        <w:rPr>
          <w:rFonts w:ascii="Times New Roman" w:eastAsia="Times New Roman" w:hAnsi="Times New Roman" w:cs="Times New Roman"/>
          <w:color w:val="000000"/>
          <w:sz w:val="24"/>
          <w:szCs w:val="24"/>
          <w:lang w:eastAsia="tr-TR"/>
        </w:rPr>
        <w:t xml:space="preserve"> tarihe kadar</w:t>
      </w:r>
      <w:r w:rsidR="00444F6B">
        <w:rPr>
          <w:rFonts w:ascii="Times New Roman" w:eastAsia="Times New Roman" w:hAnsi="Times New Roman" w:cs="Times New Roman"/>
          <w:color w:val="000000"/>
          <w:sz w:val="24"/>
          <w:szCs w:val="24"/>
          <w:lang w:eastAsia="tr-TR"/>
        </w:rPr>
        <w:t>,</w:t>
      </w:r>
      <w:r w:rsidR="00F6097B">
        <w:rPr>
          <w:rFonts w:ascii="Times New Roman" w:eastAsia="Times New Roman" w:hAnsi="Times New Roman" w:cs="Times New Roman"/>
          <w:color w:val="000000"/>
          <w:sz w:val="24"/>
          <w:szCs w:val="24"/>
          <w:lang w:eastAsia="tr-TR"/>
        </w:rPr>
        <w:t xml:space="preserve"> </w:t>
      </w:r>
      <w:r w:rsidR="00444F6B" w:rsidRPr="00871A69">
        <w:rPr>
          <w:rFonts w:ascii="Times New Roman" w:eastAsia="Times New Roman" w:hAnsi="Times New Roman" w:cs="Times New Roman"/>
          <w:color w:val="000000"/>
          <w:sz w:val="24"/>
          <w:szCs w:val="24"/>
          <w:lang w:eastAsia="tr-TR"/>
        </w:rPr>
        <w:t xml:space="preserve">fon unvanlarının </w:t>
      </w:r>
      <w:r w:rsidRPr="00871A69">
        <w:rPr>
          <w:rFonts w:ascii="Times New Roman" w:eastAsia="Times New Roman" w:hAnsi="Times New Roman" w:cs="Times New Roman"/>
          <w:color w:val="000000"/>
          <w:sz w:val="24"/>
          <w:szCs w:val="24"/>
          <w:lang w:eastAsia="tr-TR"/>
        </w:rPr>
        <w:t xml:space="preserve">“Özel Fon” ibaresi yer alacak şekilde değiştirilmesine yönelik </w:t>
      </w:r>
      <w:r>
        <w:rPr>
          <w:rFonts w:ascii="Times New Roman" w:eastAsia="Times New Roman" w:hAnsi="Times New Roman" w:cs="Times New Roman"/>
          <w:color w:val="000000"/>
          <w:sz w:val="24"/>
          <w:szCs w:val="24"/>
          <w:lang w:eastAsia="tr-TR"/>
        </w:rPr>
        <w:t>olarak</w:t>
      </w:r>
      <w:r w:rsidR="0006161B">
        <w:rPr>
          <w:rFonts w:ascii="Times New Roman" w:eastAsia="Times New Roman" w:hAnsi="Times New Roman" w:cs="Times New Roman"/>
          <w:color w:val="000000"/>
          <w:sz w:val="24"/>
          <w:szCs w:val="24"/>
          <w:lang w:eastAsia="tr-TR"/>
        </w:rPr>
        <w:t xml:space="preserve"> </w:t>
      </w:r>
      <w:r w:rsidRPr="00444F6B">
        <w:rPr>
          <w:rFonts w:ascii="Times New Roman" w:eastAsia="Times New Roman" w:hAnsi="Times New Roman" w:cs="Times New Roman"/>
          <w:color w:val="000000"/>
          <w:sz w:val="24"/>
          <w:szCs w:val="24"/>
          <w:lang w:eastAsia="tr-TR"/>
        </w:rPr>
        <w:t xml:space="preserve">içtüzük/izahname değişikliği </w:t>
      </w:r>
      <w:r w:rsidRPr="00262745">
        <w:rPr>
          <w:rFonts w:ascii="Times New Roman" w:eastAsia="Times New Roman" w:hAnsi="Times New Roman" w:cs="Times New Roman"/>
          <w:color w:val="000000"/>
          <w:sz w:val="24"/>
          <w:szCs w:val="24"/>
          <w:lang w:eastAsia="tr-TR"/>
        </w:rPr>
        <w:t xml:space="preserve">talebiyle Kurulumuza </w:t>
      </w:r>
      <w:r w:rsidR="00444F6B" w:rsidRPr="00262745">
        <w:rPr>
          <w:rFonts w:ascii="Times New Roman" w:eastAsia="Times New Roman" w:hAnsi="Times New Roman" w:cs="Times New Roman"/>
          <w:color w:val="000000"/>
          <w:sz w:val="24"/>
          <w:szCs w:val="24"/>
          <w:lang w:eastAsia="tr-TR"/>
        </w:rPr>
        <w:t>yap</w:t>
      </w:r>
      <w:r w:rsidR="00B67A09" w:rsidRPr="00262745">
        <w:rPr>
          <w:rFonts w:ascii="Times New Roman" w:eastAsia="Times New Roman" w:hAnsi="Times New Roman" w:cs="Times New Roman"/>
          <w:color w:val="000000"/>
          <w:sz w:val="24"/>
          <w:szCs w:val="24"/>
          <w:lang w:eastAsia="tr-TR"/>
        </w:rPr>
        <w:t>ılacak</w:t>
      </w:r>
      <w:r w:rsidR="00444F6B" w:rsidRPr="00262745">
        <w:rPr>
          <w:rFonts w:ascii="Times New Roman" w:eastAsia="Times New Roman" w:hAnsi="Times New Roman" w:cs="Times New Roman"/>
          <w:color w:val="000000"/>
          <w:sz w:val="24"/>
          <w:szCs w:val="24"/>
          <w:lang w:eastAsia="tr-TR"/>
        </w:rPr>
        <w:t xml:space="preserve"> başvurular </w:t>
      </w:r>
      <w:r w:rsidR="00790CE9">
        <w:rPr>
          <w:rFonts w:ascii="Times New Roman" w:eastAsia="Times New Roman" w:hAnsi="Times New Roman" w:cs="Times New Roman"/>
          <w:color w:val="000000"/>
          <w:sz w:val="24"/>
          <w:szCs w:val="24"/>
          <w:lang w:eastAsia="tr-TR"/>
        </w:rPr>
        <w:t>(4</w:t>
      </w:r>
      <w:r w:rsidR="00444F6B" w:rsidRPr="00262745">
        <w:rPr>
          <w:rFonts w:ascii="Times New Roman" w:eastAsia="Times New Roman" w:hAnsi="Times New Roman" w:cs="Times New Roman"/>
          <w:color w:val="000000"/>
          <w:sz w:val="24"/>
          <w:szCs w:val="24"/>
          <w:lang w:eastAsia="tr-TR"/>
        </w:rPr>
        <w:t>) nolu madde kapsamında değerlendirilmez.</w:t>
      </w:r>
    </w:p>
    <w:p w:rsidR="002B6E3B" w:rsidRDefault="002B6E3B" w:rsidP="0006161B">
      <w:pPr>
        <w:pStyle w:val="Default"/>
        <w:numPr>
          <w:ilvl w:val="0"/>
          <w:numId w:val="40"/>
        </w:numPr>
        <w:jc w:val="both"/>
      </w:pPr>
      <w:r w:rsidRPr="009C6AEB">
        <w:t xml:space="preserve"> Fon Tebliği’ne uyum sağlanması amacıyla yapılacak başvurulara ilişkin olarak ise;</w:t>
      </w:r>
    </w:p>
    <w:p w:rsidR="002963F4" w:rsidRPr="009C6AEB" w:rsidRDefault="002963F4" w:rsidP="00F403F8">
      <w:pPr>
        <w:pStyle w:val="Default"/>
        <w:jc w:val="both"/>
      </w:pPr>
    </w:p>
    <w:p w:rsidR="00042A12" w:rsidRDefault="002B6E3B" w:rsidP="0006161B">
      <w:pPr>
        <w:pStyle w:val="ListParagraph"/>
        <w:numPr>
          <w:ilvl w:val="0"/>
          <w:numId w:val="41"/>
        </w:numPr>
        <w:spacing w:line="240" w:lineRule="auto"/>
        <w:jc w:val="both"/>
        <w:rPr>
          <w:rFonts w:ascii="Times New Roman" w:eastAsia="Times New Roman" w:hAnsi="Times New Roman" w:cs="Times New Roman"/>
          <w:color w:val="000000"/>
          <w:sz w:val="24"/>
          <w:szCs w:val="24"/>
          <w:lang w:eastAsia="tr-TR"/>
        </w:rPr>
      </w:pPr>
      <w:r w:rsidRPr="00F403F8">
        <w:rPr>
          <w:rFonts w:ascii="Times New Roman" w:eastAsia="Times New Roman" w:hAnsi="Times New Roman" w:cs="Times New Roman"/>
          <w:color w:val="000000"/>
          <w:sz w:val="24"/>
          <w:szCs w:val="24"/>
          <w:lang w:eastAsia="tr-TR"/>
        </w:rPr>
        <w:t xml:space="preserve">Başvuruların, </w:t>
      </w:r>
      <w:r w:rsidR="00810AB9">
        <w:rPr>
          <w:rFonts w:ascii="Times New Roman" w:eastAsia="Times New Roman" w:hAnsi="Times New Roman" w:cs="Times New Roman"/>
          <w:color w:val="000000"/>
          <w:sz w:val="24"/>
          <w:szCs w:val="24"/>
          <w:lang w:eastAsia="tr-TR"/>
        </w:rPr>
        <w:t xml:space="preserve">Fon </w:t>
      </w:r>
      <w:r w:rsidRPr="00F403F8">
        <w:rPr>
          <w:rFonts w:ascii="Times New Roman" w:eastAsia="Times New Roman" w:hAnsi="Times New Roman" w:cs="Times New Roman"/>
          <w:color w:val="000000"/>
          <w:sz w:val="24"/>
          <w:szCs w:val="24"/>
          <w:lang w:eastAsia="tr-TR"/>
        </w:rPr>
        <w:t>Tebliğ</w:t>
      </w:r>
      <w:r w:rsidR="00810AB9">
        <w:rPr>
          <w:rFonts w:ascii="Times New Roman" w:eastAsia="Times New Roman" w:hAnsi="Times New Roman" w:cs="Times New Roman"/>
          <w:color w:val="000000"/>
          <w:sz w:val="24"/>
          <w:szCs w:val="24"/>
          <w:lang w:eastAsia="tr-TR"/>
        </w:rPr>
        <w:t>i’ni</w:t>
      </w:r>
      <w:r w:rsidRPr="00F403F8">
        <w:rPr>
          <w:rFonts w:ascii="Times New Roman" w:eastAsia="Times New Roman" w:hAnsi="Times New Roman" w:cs="Times New Roman"/>
          <w:color w:val="000000"/>
          <w:sz w:val="24"/>
          <w:szCs w:val="24"/>
          <w:lang w:eastAsia="tr-TR"/>
        </w:rPr>
        <w:t xml:space="preserve">n </w:t>
      </w:r>
      <w:r w:rsidRPr="00F403F8">
        <w:rPr>
          <w:rFonts w:ascii="Times New Roman" w:eastAsia="Times New Roman" w:hAnsi="Times New Roman" w:cs="Times New Roman"/>
          <w:color w:val="000000"/>
          <w:sz w:val="24"/>
          <w:szCs w:val="24"/>
          <w:u w:val="single"/>
          <w:lang w:eastAsia="tr-TR"/>
        </w:rPr>
        <w:t>tüm hükümlerine</w:t>
      </w:r>
      <w:r w:rsidRPr="00F403F8">
        <w:rPr>
          <w:rFonts w:ascii="Times New Roman" w:eastAsia="Times New Roman" w:hAnsi="Times New Roman" w:cs="Times New Roman"/>
          <w:color w:val="000000"/>
          <w:sz w:val="24"/>
          <w:szCs w:val="24"/>
          <w:lang w:eastAsia="tr-TR"/>
        </w:rPr>
        <w:t xml:space="preserve"> (portföy saklayıcısına ilişkin şartlar, portföy sınırlamaları, şemsiye fon yapısı ve diğer hükümler) uyum sağlanması amacıyla yapılması ve kurucusu olunan </w:t>
      </w:r>
      <w:r w:rsidRPr="00F403F8">
        <w:rPr>
          <w:rFonts w:ascii="Times New Roman" w:eastAsia="Times New Roman" w:hAnsi="Times New Roman" w:cs="Times New Roman"/>
          <w:color w:val="000000"/>
          <w:sz w:val="24"/>
          <w:szCs w:val="24"/>
          <w:u w:val="single"/>
          <w:lang w:eastAsia="tr-TR"/>
        </w:rPr>
        <w:t>tüm fonları</w:t>
      </w:r>
      <w:r w:rsidRPr="00F403F8">
        <w:rPr>
          <w:rFonts w:ascii="Times New Roman" w:eastAsia="Times New Roman" w:hAnsi="Times New Roman" w:cs="Times New Roman"/>
          <w:color w:val="000000"/>
          <w:sz w:val="24"/>
          <w:szCs w:val="24"/>
          <w:lang w:eastAsia="tr-TR"/>
        </w:rPr>
        <w:t xml:space="preserve"> kapsaması gerekir. Kısmi uyum amaçlı başvurular dikkate alınmayacaktır.</w:t>
      </w:r>
    </w:p>
    <w:p w:rsidR="0006161B" w:rsidRDefault="0006161B" w:rsidP="0006161B">
      <w:pPr>
        <w:pStyle w:val="ListParagraph"/>
        <w:spacing w:line="240" w:lineRule="auto"/>
        <w:ind w:left="1647"/>
        <w:jc w:val="both"/>
        <w:rPr>
          <w:rFonts w:ascii="Times New Roman" w:eastAsia="Times New Roman" w:hAnsi="Times New Roman" w:cs="Times New Roman"/>
          <w:color w:val="000000"/>
          <w:sz w:val="24"/>
          <w:szCs w:val="24"/>
          <w:lang w:eastAsia="tr-TR"/>
        </w:rPr>
      </w:pPr>
    </w:p>
    <w:p w:rsidR="00205F73" w:rsidRDefault="00C95193" w:rsidP="00205F73">
      <w:pPr>
        <w:pStyle w:val="ListParagraph"/>
        <w:spacing w:line="240" w:lineRule="auto"/>
        <w:ind w:left="1647"/>
        <w:jc w:val="both"/>
        <w:rPr>
          <w:rFonts w:ascii="Times New Roman" w:hAnsi="Times New Roman" w:cs="Times New Roman"/>
          <w:sz w:val="24"/>
          <w:szCs w:val="24"/>
        </w:rPr>
      </w:pPr>
      <w:r w:rsidRPr="00042A12">
        <w:rPr>
          <w:rFonts w:ascii="Times New Roman" w:eastAsia="Times New Roman" w:hAnsi="Times New Roman" w:cs="Times New Roman"/>
          <w:color w:val="000000"/>
          <w:sz w:val="24"/>
          <w:szCs w:val="24"/>
          <w:lang w:eastAsia="tr-TR"/>
        </w:rPr>
        <w:t>Öte yandan, a</w:t>
      </w:r>
      <w:r w:rsidR="00F403F8" w:rsidRPr="00042A12">
        <w:rPr>
          <w:rFonts w:ascii="Times New Roman" w:eastAsia="Times New Roman" w:hAnsi="Times New Roman" w:cs="Times New Roman"/>
          <w:color w:val="000000"/>
          <w:sz w:val="24"/>
          <w:szCs w:val="24"/>
          <w:lang w:eastAsia="tr-TR"/>
        </w:rPr>
        <w:t>ynı kurucu</w:t>
      </w:r>
      <w:r w:rsidRPr="00042A12">
        <w:rPr>
          <w:rFonts w:ascii="Times New Roman" w:eastAsia="Times New Roman" w:hAnsi="Times New Roman" w:cs="Times New Roman"/>
          <w:color w:val="000000"/>
          <w:sz w:val="24"/>
          <w:szCs w:val="24"/>
          <w:lang w:eastAsia="tr-TR"/>
        </w:rPr>
        <w:t>nun fonlarının</w:t>
      </w:r>
      <w:r w:rsidR="00ED15A9">
        <w:rPr>
          <w:rFonts w:ascii="Times New Roman" w:eastAsia="Times New Roman" w:hAnsi="Times New Roman" w:cs="Times New Roman"/>
          <w:color w:val="000000"/>
          <w:sz w:val="24"/>
          <w:szCs w:val="24"/>
          <w:lang w:eastAsia="tr-TR"/>
        </w:rPr>
        <w:t xml:space="preserve"> </w:t>
      </w:r>
      <w:r w:rsidRPr="00042A12">
        <w:rPr>
          <w:rFonts w:ascii="Times New Roman" w:eastAsia="Times New Roman" w:hAnsi="Times New Roman" w:cs="Times New Roman"/>
          <w:color w:val="000000"/>
          <w:sz w:val="24"/>
          <w:szCs w:val="24"/>
          <w:lang w:eastAsia="tr-TR"/>
        </w:rPr>
        <w:t xml:space="preserve">farklı </w:t>
      </w:r>
      <w:r w:rsidR="00F403F8" w:rsidRPr="00042A12">
        <w:rPr>
          <w:rFonts w:ascii="Times New Roman" w:eastAsia="Times New Roman" w:hAnsi="Times New Roman" w:cs="Times New Roman"/>
          <w:color w:val="000000"/>
          <w:sz w:val="24"/>
          <w:szCs w:val="24"/>
          <w:lang w:eastAsia="tr-TR"/>
        </w:rPr>
        <w:t>portföy yönetim şirket</w:t>
      </w:r>
      <w:r w:rsidRPr="00042A12">
        <w:rPr>
          <w:rFonts w:ascii="Times New Roman" w:eastAsia="Times New Roman" w:hAnsi="Times New Roman" w:cs="Times New Roman"/>
          <w:color w:val="000000"/>
          <w:sz w:val="24"/>
          <w:szCs w:val="24"/>
          <w:lang w:eastAsia="tr-TR"/>
        </w:rPr>
        <w:t>ler</w:t>
      </w:r>
      <w:r w:rsidR="00F403F8" w:rsidRPr="00042A12">
        <w:rPr>
          <w:rFonts w:ascii="Times New Roman" w:eastAsia="Times New Roman" w:hAnsi="Times New Roman" w:cs="Times New Roman"/>
          <w:color w:val="000000"/>
          <w:sz w:val="24"/>
          <w:szCs w:val="24"/>
          <w:lang w:eastAsia="tr-TR"/>
        </w:rPr>
        <w:t xml:space="preserve">ine devrolacak olması halinde </w:t>
      </w:r>
      <w:r w:rsidR="000A4DD3" w:rsidRPr="00042A12">
        <w:rPr>
          <w:rFonts w:ascii="Times New Roman" w:eastAsia="Times New Roman" w:hAnsi="Times New Roman" w:cs="Times New Roman"/>
          <w:color w:val="000000"/>
          <w:sz w:val="24"/>
          <w:szCs w:val="24"/>
          <w:lang w:eastAsia="tr-TR"/>
        </w:rPr>
        <w:t>kurucu değişikliği</w:t>
      </w:r>
      <w:r w:rsidRPr="00042A12">
        <w:rPr>
          <w:rFonts w:ascii="Times New Roman" w:eastAsia="Times New Roman" w:hAnsi="Times New Roman" w:cs="Times New Roman"/>
          <w:color w:val="000000"/>
          <w:sz w:val="24"/>
          <w:szCs w:val="24"/>
          <w:lang w:eastAsia="tr-TR"/>
        </w:rPr>
        <w:t xml:space="preserve"> başvurusunun</w:t>
      </w:r>
      <w:r w:rsidR="00042A12" w:rsidRPr="00042A12">
        <w:rPr>
          <w:rFonts w:ascii="Times New Roman" w:eastAsia="Times New Roman" w:hAnsi="Times New Roman" w:cs="Times New Roman"/>
          <w:color w:val="000000"/>
          <w:sz w:val="24"/>
          <w:szCs w:val="24"/>
          <w:lang w:eastAsia="tr-TR"/>
        </w:rPr>
        <w:t xml:space="preserve"> ayrı olarak yapılabilir. </w:t>
      </w:r>
      <w:r w:rsidR="00042A12" w:rsidRPr="00042A12">
        <w:rPr>
          <w:rFonts w:ascii="Times New Roman" w:hAnsi="Times New Roman" w:cs="Times New Roman"/>
          <w:sz w:val="24"/>
          <w:szCs w:val="24"/>
        </w:rPr>
        <w:t xml:space="preserve">Şu kadar ki, aynı portföy yönetim şirketine devredilecek tüm fonlara ilişkin başvuruların tek seferde yapılması gerekir. </w:t>
      </w:r>
    </w:p>
    <w:p w:rsidR="00205F73" w:rsidRDefault="00205F73" w:rsidP="00205F73">
      <w:pPr>
        <w:pStyle w:val="ListParagraph"/>
        <w:spacing w:line="240" w:lineRule="auto"/>
        <w:ind w:left="1647"/>
        <w:jc w:val="both"/>
        <w:rPr>
          <w:rFonts w:ascii="Times New Roman" w:hAnsi="Times New Roman" w:cs="Times New Roman"/>
          <w:sz w:val="24"/>
          <w:szCs w:val="24"/>
        </w:rPr>
      </w:pPr>
    </w:p>
    <w:p w:rsidR="00205F73" w:rsidRPr="00205F73" w:rsidRDefault="00205F73" w:rsidP="00205F73">
      <w:pPr>
        <w:pStyle w:val="ListParagraph"/>
        <w:spacing w:line="240" w:lineRule="auto"/>
        <w:ind w:left="1647"/>
        <w:jc w:val="both"/>
        <w:rPr>
          <w:rFonts w:ascii="Times New Roman" w:eastAsia="Times New Roman" w:hAnsi="Times New Roman" w:cs="Times New Roman"/>
          <w:color w:val="000000"/>
          <w:sz w:val="24"/>
          <w:szCs w:val="24"/>
          <w:lang w:eastAsia="tr-TR"/>
        </w:rPr>
      </w:pPr>
      <w:r w:rsidRPr="00205F73">
        <w:rPr>
          <w:rFonts w:ascii="Times New Roman" w:eastAsia="Times New Roman" w:hAnsi="Times New Roman" w:cs="Times New Roman"/>
          <w:color w:val="000000"/>
          <w:sz w:val="24"/>
          <w:szCs w:val="24"/>
          <w:lang w:eastAsia="tr-TR"/>
        </w:rPr>
        <w:t xml:space="preserve">Ara dönemde kurulmuş olan fonlara ilişkin olarak da Fon Tebliği’ne uyum sağlanması amacıyla yapılacak başvurunun bu bentte yer alan esaslara göre fonun mevcut kurucusunun kurucusu olduğu ve ara dönemde kurulmamış diğer fonları kapsaması zorunlu değildir. </w:t>
      </w:r>
    </w:p>
    <w:p w:rsidR="00D3231F" w:rsidRDefault="00D3231F" w:rsidP="00D3231F">
      <w:pPr>
        <w:pStyle w:val="Default"/>
        <w:numPr>
          <w:ilvl w:val="0"/>
          <w:numId w:val="41"/>
        </w:numPr>
        <w:jc w:val="both"/>
        <w:rPr>
          <w:color w:val="auto"/>
        </w:rPr>
      </w:pPr>
      <w:r>
        <w:rPr>
          <w:color w:val="auto"/>
        </w:rPr>
        <w:t>Fonu devralacak portföy yönetim şirketinin de eşzamanlı olarak başvuruda bulunması gereklidir.</w:t>
      </w:r>
    </w:p>
    <w:p w:rsidR="00042A12" w:rsidRPr="00262745" w:rsidRDefault="00042A12" w:rsidP="00810AB9">
      <w:pPr>
        <w:pStyle w:val="Default"/>
        <w:ind w:left="1647"/>
        <w:jc w:val="both"/>
        <w:rPr>
          <w:color w:val="auto"/>
        </w:rPr>
      </w:pPr>
    </w:p>
    <w:p w:rsidR="000A42C6" w:rsidRPr="00566D90" w:rsidRDefault="000A42C6" w:rsidP="00E94AF6">
      <w:pPr>
        <w:pStyle w:val="Heading2"/>
        <w:jc w:val="both"/>
        <w:rPr>
          <w:rFonts w:eastAsia="Times New Roman" w:cs="Times New Roman"/>
          <w:szCs w:val="24"/>
        </w:rPr>
      </w:pPr>
      <w:bookmarkStart w:id="312" w:name="_Toc130312637"/>
      <w:bookmarkStart w:id="313" w:name="_Toc130312770"/>
      <w:r w:rsidRPr="00566D90">
        <w:rPr>
          <w:rFonts w:eastAsia="Times New Roman" w:cs="Times New Roman"/>
          <w:szCs w:val="24"/>
        </w:rPr>
        <w:t xml:space="preserve">12.4. </w:t>
      </w:r>
      <w:r w:rsidR="00E94AF6">
        <w:t xml:space="preserve">(Ek: 07.02.2019 tarih ve 8/184 sayılı Kurul Kararı ile) </w:t>
      </w:r>
      <w:r w:rsidRPr="00566D90">
        <w:rPr>
          <w:rFonts w:eastAsia="Times New Roman" w:cs="Times New Roman"/>
          <w:szCs w:val="24"/>
        </w:rPr>
        <w:t>Özel Sektör Borçlanma Araçlarına ve Kira Sertifikalarına Karşılık Ayrılması ile Yan Hesap (Side Pocket) Oluşturulmasına İlişkin Esaslar</w:t>
      </w:r>
      <w:bookmarkEnd w:id="312"/>
      <w:bookmarkEnd w:id="313"/>
      <w:r w:rsidR="00E94AF6">
        <w:rPr>
          <w:rFonts w:eastAsia="Times New Roman" w:cs="Times New Roman"/>
          <w:szCs w:val="24"/>
        </w:rPr>
        <w:t xml:space="preserve"> </w:t>
      </w:r>
    </w:p>
    <w:p w:rsidR="000A42C6" w:rsidRPr="000A42C6" w:rsidRDefault="000A42C6" w:rsidP="000A42C6">
      <w:pPr>
        <w:spacing w:after="0" w:line="240" w:lineRule="auto"/>
        <w:jc w:val="both"/>
        <w:rPr>
          <w:rFonts w:ascii="Times New Roman" w:eastAsia="Times New Roman" w:hAnsi="Times New Roman" w:cs="Times New Roman"/>
          <w:b/>
          <w:sz w:val="24"/>
          <w:szCs w:val="24"/>
        </w:rPr>
      </w:pPr>
    </w:p>
    <w:p w:rsidR="000A42C6" w:rsidRPr="000A42C6" w:rsidRDefault="000A42C6" w:rsidP="000A42C6">
      <w:pPr>
        <w:spacing w:after="0" w:line="240" w:lineRule="auto"/>
        <w:ind w:firstLine="993"/>
        <w:jc w:val="both"/>
        <w:rPr>
          <w:rFonts w:ascii="Times New Roman" w:eastAsia="Times New Roman" w:hAnsi="Times New Roman" w:cs="Times New Roman"/>
          <w:sz w:val="24"/>
          <w:szCs w:val="24"/>
        </w:rPr>
      </w:pPr>
      <w:r w:rsidRPr="000A42C6">
        <w:rPr>
          <w:rFonts w:ascii="Times New Roman" w:eastAsia="Times New Roman" w:hAnsi="Times New Roman" w:cs="Times New Roman"/>
          <w:sz w:val="24"/>
          <w:szCs w:val="24"/>
        </w:rPr>
        <w:t>a) Rehber’in 5.1.2. maddesinde yer alan ihraççısı temerrüde düşen, borsada işlem görmekten men edilen veya yeniden yapılandırılan özel sektör borçlanma araçlarına ilişkin esaslar kira sertifikaları için de kıyasen uygulanır.</w:t>
      </w:r>
    </w:p>
    <w:p w:rsidR="000A42C6" w:rsidRPr="000A42C6" w:rsidRDefault="000A42C6" w:rsidP="000A42C6">
      <w:pPr>
        <w:spacing w:after="0" w:line="240" w:lineRule="auto"/>
        <w:ind w:firstLine="993"/>
        <w:jc w:val="both"/>
        <w:rPr>
          <w:rFonts w:ascii="Times New Roman" w:eastAsia="Times New Roman" w:hAnsi="Times New Roman" w:cs="Times New Roman"/>
          <w:sz w:val="24"/>
          <w:szCs w:val="24"/>
        </w:rPr>
      </w:pPr>
      <w:r w:rsidRPr="000A42C6">
        <w:rPr>
          <w:rFonts w:ascii="Times New Roman" w:eastAsia="Times New Roman" w:hAnsi="Times New Roman" w:cs="Times New Roman"/>
          <w:sz w:val="24"/>
          <w:szCs w:val="24"/>
        </w:rPr>
        <w:t>b) Rehber’in 5.1.2. maddesi ve Türkiye Sermaye Piyasaları Birliği’nin (TSPB) düzenlemeleri kapsamında fon portföyünde yer alan özel sektör borçlanma araçlarına ve kira sertifikalarına ilişkin olarak karşılık ayrılması halinde:</w:t>
      </w:r>
    </w:p>
    <w:p w:rsidR="000A42C6" w:rsidRPr="000A42C6" w:rsidRDefault="000A42C6" w:rsidP="000A42C6">
      <w:pPr>
        <w:spacing w:after="0" w:line="240" w:lineRule="auto"/>
        <w:ind w:firstLine="993"/>
        <w:jc w:val="both"/>
        <w:rPr>
          <w:rFonts w:ascii="Times New Roman" w:eastAsia="Times New Roman" w:hAnsi="Times New Roman" w:cs="Times New Roman"/>
          <w:sz w:val="24"/>
          <w:szCs w:val="24"/>
        </w:rPr>
      </w:pPr>
      <w:r w:rsidRPr="000A42C6">
        <w:rPr>
          <w:rFonts w:ascii="Times New Roman" w:eastAsia="Times New Roman" w:hAnsi="Times New Roman" w:cs="Times New Roman"/>
          <w:sz w:val="24"/>
          <w:szCs w:val="24"/>
        </w:rPr>
        <w:t>- Bu maddenin (c) ve (d) bentleri saklı kalmak kaydıyla, söz konusu varlıklar fon portföy değeri tablosundan çıkartılmaz.</w:t>
      </w:r>
    </w:p>
    <w:p w:rsidR="000A42C6" w:rsidRPr="000A42C6" w:rsidRDefault="000A42C6" w:rsidP="000A42C6">
      <w:pPr>
        <w:spacing w:after="0" w:line="240" w:lineRule="auto"/>
        <w:ind w:firstLine="993"/>
        <w:jc w:val="both"/>
        <w:rPr>
          <w:rFonts w:ascii="Times New Roman" w:eastAsia="Times New Roman" w:hAnsi="Times New Roman" w:cs="Times New Roman"/>
          <w:sz w:val="24"/>
          <w:szCs w:val="24"/>
        </w:rPr>
      </w:pPr>
      <w:r w:rsidRPr="000A42C6">
        <w:rPr>
          <w:rFonts w:ascii="Times New Roman" w:eastAsia="Times New Roman" w:hAnsi="Times New Roman" w:cs="Times New Roman"/>
          <w:sz w:val="24"/>
          <w:szCs w:val="24"/>
        </w:rPr>
        <w:t>- Karşılık ayrılan tutar, varlığın piyasa değerinden indirilecek bir kalem olarak yer verilmek suretiyle fon portföy değeri tablosunda gösterilir. (Aşağıda yer alan örnek tablodaki “b” ve “d” satırları)</w:t>
      </w:r>
    </w:p>
    <w:p w:rsidR="000A42C6" w:rsidRPr="000A42C6" w:rsidRDefault="000A42C6" w:rsidP="000A42C6">
      <w:pPr>
        <w:spacing w:after="0" w:line="240" w:lineRule="auto"/>
        <w:ind w:firstLine="993"/>
        <w:jc w:val="both"/>
        <w:rPr>
          <w:rFonts w:ascii="Times New Roman" w:eastAsia="Times New Roman" w:hAnsi="Times New Roman" w:cs="Times New Roman"/>
          <w:sz w:val="24"/>
          <w:szCs w:val="24"/>
        </w:rPr>
      </w:pPr>
      <w:r w:rsidRPr="000A42C6">
        <w:rPr>
          <w:rFonts w:ascii="Times New Roman" w:eastAsia="Times New Roman" w:hAnsi="Times New Roman" w:cs="Times New Roman"/>
          <w:sz w:val="24"/>
          <w:szCs w:val="24"/>
        </w:rPr>
        <w:t>- Portföy sınırlamalarına uyum kontrollerinde varlığın değeri olarak borçlanma aracının piyasa değerinden karşılık tutarının indirilmesi yoluyla bulunan net değer esas alınır. (Aşağıda yer alan örnek tablodaki XY0000000000 ISIN kodlu kıymet için “a+b” değeri ve XZ0000000000 ISIN kodlu kıymet için “c+d” değeri)</w:t>
      </w:r>
    </w:p>
    <w:p w:rsidR="000A42C6" w:rsidRDefault="000A42C6" w:rsidP="000A42C6">
      <w:pPr>
        <w:spacing w:after="0" w:line="240" w:lineRule="auto"/>
        <w:ind w:firstLine="993"/>
        <w:jc w:val="both"/>
        <w:rPr>
          <w:rFonts w:ascii="Times New Roman" w:eastAsia="Times New Roman" w:hAnsi="Times New Roman" w:cs="Times New Roman"/>
          <w:sz w:val="24"/>
          <w:szCs w:val="24"/>
        </w:rPr>
      </w:pPr>
      <w:r w:rsidRPr="000A42C6">
        <w:rPr>
          <w:rFonts w:ascii="Times New Roman" w:eastAsia="Times New Roman" w:hAnsi="Times New Roman" w:cs="Times New Roman"/>
          <w:sz w:val="24"/>
          <w:szCs w:val="24"/>
        </w:rPr>
        <w:t>- Bu maddenin (c) bendi kapsamında %5 oranının hesaplanmasında</w:t>
      </w:r>
      <w:r w:rsidR="00873E7D">
        <w:rPr>
          <w:rFonts w:ascii="Times New Roman" w:eastAsia="Times New Roman" w:hAnsi="Times New Roman" w:cs="Times New Roman"/>
          <w:sz w:val="24"/>
          <w:szCs w:val="24"/>
        </w:rPr>
        <w:t>;</w:t>
      </w:r>
      <w:r w:rsidRPr="000A42C6">
        <w:rPr>
          <w:rFonts w:ascii="Times New Roman" w:eastAsia="Times New Roman" w:hAnsi="Times New Roman" w:cs="Times New Roman"/>
          <w:sz w:val="24"/>
          <w:szCs w:val="24"/>
        </w:rPr>
        <w:t xml:space="preserve"> varlığa ilişkin olarak ayrılan karşılık tutarı dikkate alınmaz ve anılan karşılık tutarı fon toplam değerine eklenir. (Aşağıda yer alan örnek tablodaki XY0000000000 ISIN kodlu kıymet için “a” değeri ve XZ0000000000 ISIN kodlu kıymet için “c” değeri)</w:t>
      </w:r>
    </w:p>
    <w:p w:rsidR="00343A2A" w:rsidRDefault="00343A2A" w:rsidP="000A42C6">
      <w:pPr>
        <w:spacing w:after="0" w:line="240" w:lineRule="auto"/>
        <w:ind w:firstLine="993"/>
        <w:jc w:val="both"/>
        <w:rPr>
          <w:rFonts w:ascii="Times New Roman" w:eastAsia="Times New Roman" w:hAnsi="Times New Roman" w:cs="Times New Roman"/>
          <w:sz w:val="24"/>
          <w:szCs w:val="24"/>
        </w:rPr>
      </w:pPr>
    </w:p>
    <w:p w:rsidR="000A42C6" w:rsidRPr="000A42C6" w:rsidRDefault="000A42C6" w:rsidP="000A42C6">
      <w:pPr>
        <w:spacing w:after="0" w:line="240" w:lineRule="auto"/>
        <w:ind w:firstLine="993"/>
        <w:jc w:val="both"/>
        <w:rPr>
          <w:rFonts w:ascii="Times New Roman" w:eastAsia="Times New Roman" w:hAnsi="Times New Roman" w:cs="Times New Roman"/>
          <w:sz w:val="24"/>
          <w:szCs w:val="24"/>
        </w:rPr>
      </w:pPr>
    </w:p>
    <w:p w:rsidR="000A42C6" w:rsidRPr="000A42C6" w:rsidRDefault="000A42C6" w:rsidP="000A42C6">
      <w:pPr>
        <w:spacing w:after="0" w:line="240" w:lineRule="auto"/>
        <w:ind w:firstLine="993"/>
        <w:jc w:val="both"/>
        <w:rPr>
          <w:rFonts w:ascii="Times New Roman" w:eastAsia="Times New Roman" w:hAnsi="Times New Roman" w:cs="Times New Roman"/>
          <w:b/>
          <w:sz w:val="24"/>
          <w:szCs w:val="24"/>
          <w:u w:val="single"/>
        </w:rPr>
      </w:pPr>
      <w:r w:rsidRPr="000A42C6">
        <w:rPr>
          <w:rFonts w:ascii="Times New Roman" w:eastAsia="Times New Roman" w:hAnsi="Times New Roman" w:cs="Times New Roman"/>
          <w:b/>
          <w:sz w:val="24"/>
          <w:szCs w:val="24"/>
          <w:u w:val="single"/>
        </w:rPr>
        <w:t>Örnek:</w:t>
      </w:r>
    </w:p>
    <w:p w:rsidR="000A42C6" w:rsidRDefault="000A42C6" w:rsidP="000A42C6">
      <w:pPr>
        <w:spacing w:after="0" w:line="240" w:lineRule="auto"/>
        <w:ind w:firstLine="993"/>
        <w:jc w:val="both"/>
        <w:rPr>
          <w:rFonts w:ascii="Times New Roman" w:eastAsia="Times New Roman" w:hAnsi="Times New Roman" w:cs="Times New Roman"/>
          <w:sz w:val="24"/>
          <w:szCs w:val="24"/>
        </w:rPr>
      </w:pPr>
    </w:p>
    <w:p w:rsidR="000A42C6" w:rsidRDefault="000A42C6" w:rsidP="000A42C6">
      <w:pPr>
        <w:spacing w:after="0" w:line="240" w:lineRule="auto"/>
        <w:ind w:firstLine="993"/>
        <w:jc w:val="both"/>
        <w:rPr>
          <w:rFonts w:ascii="Times New Roman" w:eastAsia="Times New Roman" w:hAnsi="Times New Roman" w:cs="Times New Roman"/>
          <w:sz w:val="24"/>
          <w:szCs w:val="24"/>
        </w:rPr>
      </w:pPr>
      <w:r w:rsidRPr="000A42C6">
        <w:rPr>
          <w:rFonts w:ascii="Times New Roman" w:eastAsia="Times New Roman" w:hAnsi="Times New Roman" w:cs="Times New Roman"/>
          <w:sz w:val="24"/>
          <w:szCs w:val="24"/>
        </w:rPr>
        <w:t>Fon portföy değeri tablosunda aşağıdaki gibi gösterilir:</w:t>
      </w:r>
    </w:p>
    <w:p w:rsidR="000A42C6" w:rsidRPr="000A42C6" w:rsidRDefault="000A42C6" w:rsidP="000A42C6">
      <w:pPr>
        <w:spacing w:after="0" w:line="240" w:lineRule="auto"/>
        <w:ind w:firstLine="993"/>
        <w:jc w:val="both"/>
        <w:rPr>
          <w:rFonts w:ascii="Times New Roman" w:eastAsia="Times New Roman" w:hAnsi="Times New Roman" w:cs="Times New Roman"/>
          <w:sz w:val="24"/>
          <w:szCs w:val="24"/>
        </w:rPr>
      </w:pPr>
    </w:p>
    <w:tbl>
      <w:tblPr>
        <w:tblW w:w="9348"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420"/>
        <w:gridCol w:w="1840"/>
        <w:gridCol w:w="4536"/>
        <w:gridCol w:w="1276"/>
        <w:gridCol w:w="1276"/>
      </w:tblGrid>
      <w:tr w:rsidR="000A42C6" w:rsidRPr="000A42C6" w:rsidTr="00566D90">
        <w:trPr>
          <w:trHeight w:val="312"/>
        </w:trPr>
        <w:tc>
          <w:tcPr>
            <w:tcW w:w="9348" w:type="dxa"/>
            <w:gridSpan w:val="5"/>
            <w:tcBorders>
              <w:top w:val="outset" w:sz="6" w:space="0" w:color="auto"/>
              <w:left w:val="outset" w:sz="6" w:space="0" w:color="auto"/>
              <w:bottom w:val="outset" w:sz="6" w:space="0" w:color="auto"/>
              <w:right w:val="outset" w:sz="6" w:space="0" w:color="auto"/>
            </w:tcBorders>
            <w:vAlign w:val="center"/>
            <w:hideMark/>
          </w:tcPr>
          <w:p w:rsidR="000A42C6" w:rsidRPr="000A42C6" w:rsidRDefault="000A42C6" w:rsidP="000A42C6">
            <w:pPr>
              <w:spacing w:after="0" w:line="240" w:lineRule="auto"/>
              <w:jc w:val="both"/>
              <w:rPr>
                <w:rFonts w:ascii="Times New Roman" w:eastAsia="Times New Roman" w:hAnsi="Times New Roman" w:cs="Times New Roman"/>
                <w:b/>
                <w:sz w:val="24"/>
                <w:szCs w:val="24"/>
                <w:lang w:eastAsia="tr-TR"/>
              </w:rPr>
            </w:pPr>
            <w:r w:rsidRPr="000A42C6">
              <w:rPr>
                <w:rFonts w:ascii="Times New Roman" w:eastAsia="Times New Roman" w:hAnsi="Times New Roman" w:cs="Times New Roman"/>
                <w:b/>
                <w:bCs/>
                <w:iCs/>
                <w:sz w:val="24"/>
                <w:szCs w:val="24"/>
                <w:lang w:eastAsia="tr-TR"/>
              </w:rPr>
              <w:t>BORÇLANMA SENETLERİ</w:t>
            </w:r>
          </w:p>
        </w:tc>
      </w:tr>
      <w:tr w:rsidR="000A42C6" w:rsidRPr="000A42C6" w:rsidTr="00566D90">
        <w:trPr>
          <w:trHeight w:val="340"/>
        </w:trPr>
        <w:tc>
          <w:tcPr>
            <w:tcW w:w="420" w:type="dxa"/>
            <w:tcBorders>
              <w:top w:val="outset" w:sz="6" w:space="0" w:color="auto"/>
              <w:left w:val="outset" w:sz="6" w:space="0" w:color="auto"/>
              <w:bottom w:val="outset" w:sz="6" w:space="0" w:color="auto"/>
              <w:right w:val="outset" w:sz="6" w:space="0" w:color="auto"/>
            </w:tcBorders>
            <w:vAlign w:val="center"/>
            <w:hideMark/>
          </w:tcPr>
          <w:p w:rsidR="000A42C6" w:rsidRPr="000A42C6" w:rsidRDefault="000A42C6" w:rsidP="000A42C6">
            <w:pPr>
              <w:spacing w:after="0" w:line="240" w:lineRule="auto"/>
              <w:jc w:val="both"/>
              <w:rPr>
                <w:rFonts w:ascii="Times New Roman" w:eastAsia="Times New Roman" w:hAnsi="Times New Roman" w:cs="Times New Roman"/>
                <w:b/>
                <w:sz w:val="24"/>
                <w:szCs w:val="24"/>
                <w:lang w:eastAsia="tr-TR"/>
              </w:rPr>
            </w:pPr>
          </w:p>
        </w:tc>
        <w:tc>
          <w:tcPr>
            <w:tcW w:w="1840" w:type="dxa"/>
            <w:tcBorders>
              <w:top w:val="outset" w:sz="6" w:space="0" w:color="auto"/>
              <w:left w:val="outset" w:sz="6" w:space="0" w:color="auto"/>
              <w:bottom w:val="outset" w:sz="6" w:space="0" w:color="auto"/>
              <w:right w:val="outset" w:sz="6" w:space="0" w:color="auto"/>
            </w:tcBorders>
            <w:vAlign w:val="center"/>
            <w:hideMark/>
          </w:tcPr>
          <w:p w:rsidR="000A42C6" w:rsidRPr="000A42C6" w:rsidRDefault="000A42C6" w:rsidP="000A42C6">
            <w:pPr>
              <w:spacing w:after="0" w:line="240" w:lineRule="auto"/>
              <w:jc w:val="both"/>
              <w:rPr>
                <w:rFonts w:ascii="Times New Roman" w:eastAsia="Times New Roman" w:hAnsi="Times New Roman" w:cs="Times New Roman"/>
                <w:b/>
                <w:sz w:val="24"/>
                <w:szCs w:val="24"/>
                <w:lang w:eastAsia="tr-TR"/>
              </w:rPr>
            </w:pPr>
            <w:r w:rsidRPr="000A42C6">
              <w:rPr>
                <w:rFonts w:ascii="Times New Roman" w:eastAsia="Times New Roman" w:hAnsi="Times New Roman" w:cs="Times New Roman"/>
                <w:b/>
                <w:bCs/>
                <w:iCs/>
                <w:sz w:val="24"/>
                <w:szCs w:val="24"/>
                <w:lang w:eastAsia="tr-TR"/>
              </w:rPr>
              <w:t>ISIN KODU</w:t>
            </w:r>
          </w:p>
        </w:tc>
        <w:tc>
          <w:tcPr>
            <w:tcW w:w="4536" w:type="dxa"/>
            <w:tcBorders>
              <w:top w:val="outset" w:sz="6" w:space="0" w:color="auto"/>
              <w:left w:val="outset" w:sz="6" w:space="0" w:color="auto"/>
              <w:bottom w:val="outset" w:sz="6" w:space="0" w:color="auto"/>
              <w:right w:val="outset" w:sz="6" w:space="0" w:color="auto"/>
            </w:tcBorders>
            <w:vAlign w:val="center"/>
            <w:hideMark/>
          </w:tcPr>
          <w:p w:rsidR="000A42C6" w:rsidRPr="000A42C6" w:rsidRDefault="000A42C6" w:rsidP="000A42C6">
            <w:pPr>
              <w:spacing w:after="0" w:line="240" w:lineRule="auto"/>
              <w:jc w:val="both"/>
              <w:rPr>
                <w:rFonts w:ascii="Times New Roman" w:eastAsia="Times New Roman" w:hAnsi="Times New Roman" w:cs="Times New Roman"/>
                <w:b/>
                <w:sz w:val="24"/>
                <w:szCs w:val="24"/>
                <w:lang w:eastAsia="tr-TR"/>
              </w:rPr>
            </w:pPr>
            <w:r w:rsidRPr="000A42C6">
              <w:rPr>
                <w:rFonts w:ascii="Times New Roman" w:eastAsia="Times New Roman" w:hAnsi="Times New Roman" w:cs="Times New Roman"/>
                <w:b/>
                <w:bCs/>
                <w:iCs/>
                <w:sz w:val="24"/>
                <w:szCs w:val="24"/>
                <w:lang w:eastAsia="tr-TR"/>
              </w:rPr>
              <w:t>İhraççı Kurum</w:t>
            </w:r>
          </w:p>
        </w:tc>
        <w:tc>
          <w:tcPr>
            <w:tcW w:w="1276" w:type="dxa"/>
            <w:tcBorders>
              <w:top w:val="outset" w:sz="6" w:space="0" w:color="auto"/>
              <w:left w:val="outset" w:sz="6" w:space="0" w:color="auto"/>
              <w:bottom w:val="outset" w:sz="6" w:space="0" w:color="auto"/>
              <w:right w:val="outset" w:sz="6" w:space="0" w:color="auto"/>
            </w:tcBorders>
            <w:vAlign w:val="center"/>
            <w:hideMark/>
          </w:tcPr>
          <w:p w:rsidR="000A42C6" w:rsidRPr="000A42C6" w:rsidRDefault="000A42C6" w:rsidP="000A42C6">
            <w:pPr>
              <w:spacing w:after="0" w:line="240" w:lineRule="auto"/>
              <w:jc w:val="both"/>
              <w:rPr>
                <w:rFonts w:ascii="Times New Roman" w:eastAsia="Times New Roman" w:hAnsi="Times New Roman" w:cs="Times New Roman"/>
                <w:b/>
                <w:sz w:val="24"/>
                <w:szCs w:val="24"/>
                <w:lang w:eastAsia="tr-TR"/>
              </w:rPr>
            </w:pPr>
            <w:r w:rsidRPr="000A42C6">
              <w:rPr>
                <w:rFonts w:ascii="Times New Roman" w:eastAsia="Times New Roman" w:hAnsi="Times New Roman" w:cs="Times New Roman"/>
                <w:b/>
                <w:bCs/>
                <w:iCs/>
                <w:sz w:val="24"/>
                <w:szCs w:val="24"/>
                <w:lang w:eastAsia="tr-TR"/>
              </w:rPr>
              <w:t>Nominal Değer (TL)</w:t>
            </w:r>
          </w:p>
        </w:tc>
        <w:tc>
          <w:tcPr>
            <w:tcW w:w="1276" w:type="dxa"/>
            <w:tcBorders>
              <w:top w:val="outset" w:sz="6" w:space="0" w:color="auto"/>
              <w:left w:val="outset" w:sz="6" w:space="0" w:color="auto"/>
              <w:bottom w:val="outset" w:sz="6" w:space="0" w:color="auto"/>
              <w:right w:val="outset" w:sz="6" w:space="0" w:color="auto"/>
            </w:tcBorders>
            <w:vAlign w:val="center"/>
            <w:hideMark/>
          </w:tcPr>
          <w:p w:rsidR="000A42C6" w:rsidRPr="000A42C6" w:rsidRDefault="000A42C6" w:rsidP="000A42C6">
            <w:pPr>
              <w:spacing w:after="0" w:line="240" w:lineRule="auto"/>
              <w:jc w:val="both"/>
              <w:rPr>
                <w:rFonts w:ascii="Times New Roman" w:eastAsia="Times New Roman" w:hAnsi="Times New Roman" w:cs="Times New Roman"/>
                <w:b/>
                <w:sz w:val="24"/>
                <w:szCs w:val="24"/>
                <w:lang w:eastAsia="tr-TR"/>
              </w:rPr>
            </w:pPr>
            <w:r w:rsidRPr="000A42C6">
              <w:rPr>
                <w:rFonts w:ascii="Times New Roman" w:eastAsia="Times New Roman" w:hAnsi="Times New Roman" w:cs="Times New Roman"/>
                <w:b/>
                <w:bCs/>
                <w:iCs/>
                <w:sz w:val="24"/>
                <w:szCs w:val="24"/>
                <w:lang w:eastAsia="tr-TR"/>
              </w:rPr>
              <w:t>Toplam Değer (TL)</w:t>
            </w:r>
          </w:p>
        </w:tc>
      </w:tr>
      <w:tr w:rsidR="000A42C6" w:rsidRPr="000A42C6" w:rsidTr="00566D90">
        <w:trPr>
          <w:trHeight w:val="312"/>
        </w:trPr>
        <w:tc>
          <w:tcPr>
            <w:tcW w:w="420" w:type="dxa"/>
            <w:tcBorders>
              <w:top w:val="outset" w:sz="6" w:space="0" w:color="auto"/>
              <w:left w:val="outset" w:sz="6" w:space="0" w:color="auto"/>
              <w:bottom w:val="outset" w:sz="6" w:space="0" w:color="auto"/>
              <w:right w:val="outset" w:sz="6" w:space="0" w:color="auto"/>
            </w:tcBorders>
            <w:vAlign w:val="center"/>
            <w:hideMark/>
          </w:tcPr>
          <w:p w:rsidR="000A42C6" w:rsidRPr="000A42C6" w:rsidRDefault="000A42C6" w:rsidP="000A42C6">
            <w:pPr>
              <w:spacing w:after="0" w:line="240" w:lineRule="auto"/>
              <w:jc w:val="center"/>
              <w:rPr>
                <w:rFonts w:ascii="Times New Roman" w:eastAsia="Times New Roman" w:hAnsi="Times New Roman" w:cs="Times New Roman"/>
                <w:sz w:val="24"/>
                <w:szCs w:val="24"/>
                <w:lang w:eastAsia="tr-TR"/>
              </w:rPr>
            </w:pPr>
            <w:r w:rsidRPr="000A42C6">
              <w:rPr>
                <w:rFonts w:ascii="Times New Roman" w:eastAsia="Times New Roman" w:hAnsi="Times New Roman" w:cs="Times New Roman"/>
                <w:iCs/>
                <w:sz w:val="24"/>
                <w:szCs w:val="24"/>
                <w:lang w:eastAsia="tr-TR"/>
              </w:rPr>
              <w:t>a</w:t>
            </w:r>
          </w:p>
        </w:tc>
        <w:tc>
          <w:tcPr>
            <w:tcW w:w="1840" w:type="dxa"/>
            <w:tcBorders>
              <w:top w:val="outset" w:sz="6" w:space="0" w:color="auto"/>
              <w:left w:val="outset" w:sz="6" w:space="0" w:color="auto"/>
              <w:bottom w:val="outset" w:sz="6" w:space="0" w:color="auto"/>
              <w:right w:val="outset" w:sz="6" w:space="0" w:color="auto"/>
            </w:tcBorders>
            <w:vAlign w:val="center"/>
            <w:hideMark/>
          </w:tcPr>
          <w:p w:rsidR="000A42C6" w:rsidRPr="000A42C6" w:rsidRDefault="000A42C6" w:rsidP="000A42C6">
            <w:pPr>
              <w:spacing w:after="0" w:line="240" w:lineRule="auto"/>
              <w:jc w:val="both"/>
              <w:rPr>
                <w:rFonts w:ascii="Times New Roman" w:eastAsia="Times New Roman" w:hAnsi="Times New Roman" w:cs="Times New Roman"/>
                <w:sz w:val="24"/>
                <w:szCs w:val="24"/>
                <w:lang w:eastAsia="tr-TR"/>
              </w:rPr>
            </w:pPr>
            <w:r w:rsidRPr="000A42C6">
              <w:rPr>
                <w:rFonts w:ascii="Times New Roman" w:eastAsia="Times New Roman" w:hAnsi="Times New Roman" w:cs="Times New Roman"/>
                <w:iCs/>
                <w:sz w:val="24"/>
                <w:szCs w:val="24"/>
                <w:lang w:eastAsia="tr-TR"/>
              </w:rPr>
              <w:t>XY0000000000</w:t>
            </w:r>
          </w:p>
        </w:tc>
        <w:tc>
          <w:tcPr>
            <w:tcW w:w="4536" w:type="dxa"/>
            <w:tcBorders>
              <w:top w:val="outset" w:sz="6" w:space="0" w:color="auto"/>
              <w:left w:val="outset" w:sz="6" w:space="0" w:color="auto"/>
              <w:bottom w:val="outset" w:sz="6" w:space="0" w:color="auto"/>
              <w:right w:val="outset" w:sz="6" w:space="0" w:color="auto"/>
            </w:tcBorders>
            <w:vAlign w:val="center"/>
            <w:hideMark/>
          </w:tcPr>
          <w:p w:rsidR="000A42C6" w:rsidRPr="000A42C6" w:rsidRDefault="000A42C6" w:rsidP="000A42C6">
            <w:pPr>
              <w:spacing w:after="0" w:line="240" w:lineRule="auto"/>
              <w:jc w:val="both"/>
              <w:rPr>
                <w:rFonts w:ascii="Times New Roman" w:eastAsia="Times New Roman" w:hAnsi="Times New Roman" w:cs="Times New Roman"/>
                <w:sz w:val="24"/>
                <w:szCs w:val="24"/>
                <w:lang w:eastAsia="tr-TR"/>
              </w:rPr>
            </w:pPr>
            <w:r w:rsidRPr="000A42C6">
              <w:rPr>
                <w:rFonts w:ascii="Times New Roman" w:eastAsia="Times New Roman" w:hAnsi="Times New Roman" w:cs="Times New Roman"/>
                <w:iCs/>
                <w:sz w:val="24"/>
                <w:szCs w:val="24"/>
                <w:lang w:eastAsia="tr-TR"/>
              </w:rPr>
              <w:t>ABC A.Ş.</w:t>
            </w:r>
          </w:p>
        </w:tc>
        <w:tc>
          <w:tcPr>
            <w:tcW w:w="1276" w:type="dxa"/>
            <w:tcBorders>
              <w:top w:val="outset" w:sz="6" w:space="0" w:color="auto"/>
              <w:left w:val="outset" w:sz="6" w:space="0" w:color="auto"/>
              <w:bottom w:val="outset" w:sz="6" w:space="0" w:color="auto"/>
              <w:right w:val="outset" w:sz="6" w:space="0" w:color="auto"/>
            </w:tcBorders>
            <w:vAlign w:val="center"/>
            <w:hideMark/>
          </w:tcPr>
          <w:p w:rsidR="000A42C6" w:rsidRPr="000A42C6" w:rsidRDefault="000A42C6" w:rsidP="000A42C6">
            <w:pPr>
              <w:spacing w:after="0" w:line="240" w:lineRule="auto"/>
              <w:jc w:val="center"/>
              <w:rPr>
                <w:rFonts w:ascii="Times New Roman" w:eastAsia="Times New Roman" w:hAnsi="Times New Roman" w:cs="Times New Roman"/>
                <w:sz w:val="24"/>
                <w:szCs w:val="24"/>
                <w:lang w:eastAsia="tr-TR"/>
              </w:rPr>
            </w:pPr>
            <w:r w:rsidRPr="000A42C6">
              <w:rPr>
                <w:rFonts w:ascii="Times New Roman" w:eastAsia="Times New Roman" w:hAnsi="Times New Roman" w:cs="Times New Roman"/>
                <w:iCs/>
                <w:sz w:val="24"/>
                <w:szCs w:val="24"/>
                <w:lang w:eastAsia="tr-TR"/>
              </w:rPr>
              <w:t>100</w:t>
            </w:r>
          </w:p>
        </w:tc>
        <w:tc>
          <w:tcPr>
            <w:tcW w:w="1276" w:type="dxa"/>
            <w:tcBorders>
              <w:top w:val="outset" w:sz="6" w:space="0" w:color="auto"/>
              <w:left w:val="outset" w:sz="6" w:space="0" w:color="auto"/>
              <w:bottom w:val="outset" w:sz="6" w:space="0" w:color="auto"/>
              <w:right w:val="outset" w:sz="6" w:space="0" w:color="auto"/>
            </w:tcBorders>
            <w:vAlign w:val="center"/>
            <w:hideMark/>
          </w:tcPr>
          <w:p w:rsidR="000A42C6" w:rsidRPr="000A42C6" w:rsidRDefault="000A42C6" w:rsidP="000A42C6">
            <w:pPr>
              <w:spacing w:after="0" w:line="240" w:lineRule="auto"/>
              <w:jc w:val="center"/>
              <w:rPr>
                <w:rFonts w:ascii="Times New Roman" w:eastAsia="Times New Roman" w:hAnsi="Times New Roman" w:cs="Times New Roman"/>
                <w:sz w:val="24"/>
                <w:szCs w:val="24"/>
                <w:lang w:eastAsia="tr-TR"/>
              </w:rPr>
            </w:pPr>
            <w:r w:rsidRPr="000A42C6">
              <w:rPr>
                <w:rFonts w:ascii="Times New Roman" w:eastAsia="Times New Roman" w:hAnsi="Times New Roman" w:cs="Times New Roman"/>
                <w:iCs/>
                <w:sz w:val="24"/>
                <w:szCs w:val="24"/>
                <w:lang w:eastAsia="tr-TR"/>
              </w:rPr>
              <w:t>100</w:t>
            </w:r>
          </w:p>
        </w:tc>
      </w:tr>
      <w:tr w:rsidR="000A42C6" w:rsidRPr="000A42C6" w:rsidTr="00566D90">
        <w:trPr>
          <w:trHeight w:val="312"/>
        </w:trPr>
        <w:tc>
          <w:tcPr>
            <w:tcW w:w="420" w:type="dxa"/>
            <w:tcBorders>
              <w:top w:val="outset" w:sz="6" w:space="0" w:color="auto"/>
              <w:left w:val="outset" w:sz="6" w:space="0" w:color="auto"/>
              <w:bottom w:val="outset" w:sz="6" w:space="0" w:color="auto"/>
              <w:right w:val="outset" w:sz="6" w:space="0" w:color="auto"/>
            </w:tcBorders>
            <w:vAlign w:val="center"/>
            <w:hideMark/>
          </w:tcPr>
          <w:p w:rsidR="000A42C6" w:rsidRPr="000A42C6" w:rsidRDefault="000A42C6" w:rsidP="000A42C6">
            <w:pPr>
              <w:spacing w:after="0" w:line="240" w:lineRule="auto"/>
              <w:jc w:val="center"/>
              <w:rPr>
                <w:rFonts w:ascii="Times New Roman" w:eastAsia="Times New Roman" w:hAnsi="Times New Roman" w:cs="Times New Roman"/>
                <w:sz w:val="24"/>
                <w:szCs w:val="24"/>
                <w:lang w:eastAsia="tr-TR"/>
              </w:rPr>
            </w:pPr>
            <w:r w:rsidRPr="000A42C6">
              <w:rPr>
                <w:rFonts w:ascii="Times New Roman" w:eastAsia="Times New Roman" w:hAnsi="Times New Roman" w:cs="Times New Roman"/>
                <w:iCs/>
                <w:sz w:val="24"/>
                <w:szCs w:val="24"/>
                <w:lang w:eastAsia="tr-TR"/>
              </w:rPr>
              <w:t>b</w:t>
            </w:r>
          </w:p>
        </w:tc>
        <w:tc>
          <w:tcPr>
            <w:tcW w:w="1840" w:type="dxa"/>
            <w:tcBorders>
              <w:top w:val="outset" w:sz="6" w:space="0" w:color="auto"/>
              <w:left w:val="outset" w:sz="6" w:space="0" w:color="auto"/>
              <w:bottom w:val="outset" w:sz="6" w:space="0" w:color="auto"/>
              <w:right w:val="outset" w:sz="6" w:space="0" w:color="auto"/>
            </w:tcBorders>
            <w:vAlign w:val="center"/>
            <w:hideMark/>
          </w:tcPr>
          <w:p w:rsidR="000A42C6" w:rsidRPr="000A42C6" w:rsidRDefault="000A42C6" w:rsidP="000A42C6">
            <w:pPr>
              <w:spacing w:after="0" w:line="240" w:lineRule="auto"/>
              <w:jc w:val="both"/>
              <w:rPr>
                <w:rFonts w:ascii="Times New Roman" w:eastAsia="Times New Roman" w:hAnsi="Times New Roman" w:cs="Times New Roman"/>
                <w:sz w:val="24"/>
                <w:szCs w:val="24"/>
                <w:lang w:eastAsia="tr-TR"/>
              </w:rPr>
            </w:pPr>
            <w:r w:rsidRPr="000A42C6">
              <w:rPr>
                <w:rFonts w:ascii="Times New Roman" w:eastAsia="Times New Roman" w:hAnsi="Times New Roman" w:cs="Times New Roman"/>
                <w:iCs/>
                <w:sz w:val="24"/>
                <w:szCs w:val="24"/>
                <w:lang w:eastAsia="tr-TR"/>
              </w:rPr>
              <w:t>XY0000000000</w:t>
            </w:r>
          </w:p>
        </w:tc>
        <w:tc>
          <w:tcPr>
            <w:tcW w:w="4536" w:type="dxa"/>
            <w:tcBorders>
              <w:top w:val="outset" w:sz="6" w:space="0" w:color="auto"/>
              <w:left w:val="outset" w:sz="6" w:space="0" w:color="auto"/>
              <w:bottom w:val="outset" w:sz="6" w:space="0" w:color="auto"/>
              <w:right w:val="outset" w:sz="6" w:space="0" w:color="auto"/>
            </w:tcBorders>
            <w:vAlign w:val="center"/>
            <w:hideMark/>
          </w:tcPr>
          <w:p w:rsidR="000A42C6" w:rsidRPr="000A42C6" w:rsidRDefault="000A42C6" w:rsidP="000A42C6">
            <w:pPr>
              <w:spacing w:after="0" w:line="240" w:lineRule="auto"/>
              <w:jc w:val="both"/>
              <w:rPr>
                <w:rFonts w:ascii="Times New Roman" w:eastAsia="Times New Roman" w:hAnsi="Times New Roman" w:cs="Times New Roman"/>
                <w:sz w:val="24"/>
                <w:szCs w:val="24"/>
                <w:lang w:eastAsia="tr-TR"/>
              </w:rPr>
            </w:pPr>
            <w:r w:rsidRPr="000A42C6">
              <w:rPr>
                <w:rFonts w:ascii="Times New Roman" w:eastAsia="Times New Roman" w:hAnsi="Times New Roman" w:cs="Times New Roman"/>
                <w:iCs/>
                <w:sz w:val="24"/>
                <w:szCs w:val="24"/>
                <w:lang w:eastAsia="tr-TR"/>
              </w:rPr>
              <w:t xml:space="preserve">ABC A.Ş. </w:t>
            </w:r>
            <w:r w:rsidRPr="000A42C6">
              <w:rPr>
                <w:rFonts w:ascii="Times New Roman" w:eastAsia="Times New Roman" w:hAnsi="Times New Roman" w:cs="Times New Roman"/>
                <w:i/>
                <w:iCs/>
                <w:sz w:val="24"/>
                <w:szCs w:val="24"/>
                <w:lang w:eastAsia="tr-TR"/>
              </w:rPr>
              <w:t>(Değer Düşüklüğü Karşılığı - %100)</w:t>
            </w:r>
          </w:p>
        </w:tc>
        <w:tc>
          <w:tcPr>
            <w:tcW w:w="1276" w:type="dxa"/>
            <w:tcBorders>
              <w:top w:val="outset" w:sz="6" w:space="0" w:color="auto"/>
              <w:left w:val="outset" w:sz="6" w:space="0" w:color="auto"/>
              <w:bottom w:val="outset" w:sz="6" w:space="0" w:color="auto"/>
              <w:right w:val="outset" w:sz="6" w:space="0" w:color="auto"/>
            </w:tcBorders>
            <w:vAlign w:val="center"/>
            <w:hideMark/>
          </w:tcPr>
          <w:p w:rsidR="000A42C6" w:rsidRPr="000A42C6" w:rsidRDefault="000A42C6" w:rsidP="000A42C6">
            <w:pPr>
              <w:spacing w:after="0" w:line="240" w:lineRule="auto"/>
              <w:jc w:val="center"/>
              <w:rPr>
                <w:rFonts w:ascii="Times New Roman" w:eastAsia="Times New Roman" w:hAnsi="Times New Roman" w:cs="Times New Roman"/>
                <w:sz w:val="24"/>
                <w:szCs w:val="24"/>
                <w:lang w:eastAsia="tr-TR"/>
              </w:rPr>
            </w:pPr>
          </w:p>
        </w:tc>
        <w:tc>
          <w:tcPr>
            <w:tcW w:w="1276" w:type="dxa"/>
            <w:tcBorders>
              <w:top w:val="outset" w:sz="6" w:space="0" w:color="auto"/>
              <w:left w:val="outset" w:sz="6" w:space="0" w:color="auto"/>
              <w:bottom w:val="outset" w:sz="6" w:space="0" w:color="auto"/>
              <w:right w:val="outset" w:sz="6" w:space="0" w:color="auto"/>
            </w:tcBorders>
            <w:vAlign w:val="center"/>
            <w:hideMark/>
          </w:tcPr>
          <w:p w:rsidR="000A42C6" w:rsidRPr="000A42C6" w:rsidRDefault="000A42C6" w:rsidP="000A42C6">
            <w:pPr>
              <w:spacing w:after="0" w:line="240" w:lineRule="auto"/>
              <w:jc w:val="center"/>
              <w:rPr>
                <w:rFonts w:ascii="Times New Roman" w:eastAsia="Times New Roman" w:hAnsi="Times New Roman" w:cs="Times New Roman"/>
                <w:sz w:val="24"/>
                <w:szCs w:val="24"/>
                <w:lang w:eastAsia="tr-TR"/>
              </w:rPr>
            </w:pPr>
            <w:r w:rsidRPr="000A42C6">
              <w:rPr>
                <w:rFonts w:ascii="Times New Roman" w:eastAsia="Times New Roman" w:hAnsi="Times New Roman" w:cs="Times New Roman"/>
                <w:iCs/>
                <w:sz w:val="24"/>
                <w:szCs w:val="24"/>
                <w:lang w:eastAsia="tr-TR"/>
              </w:rPr>
              <w:t>(-) 100</w:t>
            </w:r>
          </w:p>
        </w:tc>
      </w:tr>
      <w:tr w:rsidR="000A42C6" w:rsidRPr="000A42C6" w:rsidTr="00566D90">
        <w:trPr>
          <w:trHeight w:val="312"/>
        </w:trPr>
        <w:tc>
          <w:tcPr>
            <w:tcW w:w="420" w:type="dxa"/>
            <w:tcBorders>
              <w:top w:val="outset" w:sz="6" w:space="0" w:color="auto"/>
              <w:left w:val="outset" w:sz="6" w:space="0" w:color="auto"/>
              <w:bottom w:val="outset" w:sz="6" w:space="0" w:color="auto"/>
              <w:right w:val="outset" w:sz="6" w:space="0" w:color="auto"/>
            </w:tcBorders>
            <w:vAlign w:val="center"/>
            <w:hideMark/>
          </w:tcPr>
          <w:p w:rsidR="000A42C6" w:rsidRPr="000A42C6" w:rsidRDefault="000A42C6" w:rsidP="000A42C6">
            <w:pPr>
              <w:spacing w:after="0" w:line="240" w:lineRule="auto"/>
              <w:jc w:val="center"/>
              <w:rPr>
                <w:rFonts w:ascii="Times New Roman" w:eastAsia="Times New Roman" w:hAnsi="Times New Roman" w:cs="Times New Roman"/>
                <w:sz w:val="24"/>
                <w:szCs w:val="24"/>
                <w:lang w:eastAsia="tr-TR"/>
              </w:rPr>
            </w:pPr>
            <w:r w:rsidRPr="000A42C6">
              <w:rPr>
                <w:rFonts w:ascii="Times New Roman" w:eastAsia="Times New Roman" w:hAnsi="Times New Roman" w:cs="Times New Roman"/>
                <w:iCs/>
                <w:sz w:val="24"/>
                <w:szCs w:val="24"/>
                <w:lang w:eastAsia="tr-TR"/>
              </w:rPr>
              <w:t>c</w:t>
            </w:r>
          </w:p>
        </w:tc>
        <w:tc>
          <w:tcPr>
            <w:tcW w:w="1840" w:type="dxa"/>
            <w:tcBorders>
              <w:top w:val="outset" w:sz="6" w:space="0" w:color="auto"/>
              <w:left w:val="outset" w:sz="6" w:space="0" w:color="auto"/>
              <w:bottom w:val="outset" w:sz="6" w:space="0" w:color="auto"/>
              <w:right w:val="outset" w:sz="6" w:space="0" w:color="auto"/>
            </w:tcBorders>
            <w:vAlign w:val="center"/>
            <w:hideMark/>
          </w:tcPr>
          <w:p w:rsidR="000A42C6" w:rsidRPr="000A42C6" w:rsidRDefault="000A42C6" w:rsidP="000A42C6">
            <w:pPr>
              <w:spacing w:after="0" w:line="240" w:lineRule="auto"/>
              <w:jc w:val="both"/>
              <w:rPr>
                <w:rFonts w:ascii="Times New Roman" w:eastAsia="Times New Roman" w:hAnsi="Times New Roman" w:cs="Times New Roman"/>
                <w:sz w:val="24"/>
                <w:szCs w:val="24"/>
                <w:lang w:eastAsia="tr-TR"/>
              </w:rPr>
            </w:pPr>
            <w:r w:rsidRPr="000A42C6">
              <w:rPr>
                <w:rFonts w:ascii="Times New Roman" w:eastAsia="Times New Roman" w:hAnsi="Times New Roman" w:cs="Times New Roman"/>
                <w:iCs/>
                <w:sz w:val="24"/>
                <w:szCs w:val="24"/>
                <w:lang w:eastAsia="tr-TR"/>
              </w:rPr>
              <w:t>XZ0000000000</w:t>
            </w:r>
          </w:p>
        </w:tc>
        <w:tc>
          <w:tcPr>
            <w:tcW w:w="4536" w:type="dxa"/>
            <w:tcBorders>
              <w:top w:val="outset" w:sz="6" w:space="0" w:color="auto"/>
              <w:left w:val="outset" w:sz="6" w:space="0" w:color="auto"/>
              <w:bottom w:val="outset" w:sz="6" w:space="0" w:color="auto"/>
              <w:right w:val="outset" w:sz="6" w:space="0" w:color="auto"/>
            </w:tcBorders>
            <w:vAlign w:val="center"/>
            <w:hideMark/>
          </w:tcPr>
          <w:p w:rsidR="000A42C6" w:rsidRPr="000A42C6" w:rsidRDefault="000A42C6" w:rsidP="000A42C6">
            <w:pPr>
              <w:spacing w:after="0" w:line="240" w:lineRule="auto"/>
              <w:jc w:val="both"/>
              <w:rPr>
                <w:rFonts w:ascii="Times New Roman" w:eastAsia="Times New Roman" w:hAnsi="Times New Roman" w:cs="Times New Roman"/>
                <w:sz w:val="24"/>
                <w:szCs w:val="24"/>
                <w:lang w:eastAsia="tr-TR"/>
              </w:rPr>
            </w:pPr>
            <w:r w:rsidRPr="000A42C6">
              <w:rPr>
                <w:rFonts w:ascii="Times New Roman" w:eastAsia="Times New Roman" w:hAnsi="Times New Roman" w:cs="Times New Roman"/>
                <w:iCs/>
                <w:sz w:val="24"/>
                <w:szCs w:val="24"/>
                <w:lang w:eastAsia="tr-TR"/>
              </w:rPr>
              <w:t>DEF A.Ş.</w:t>
            </w:r>
          </w:p>
        </w:tc>
        <w:tc>
          <w:tcPr>
            <w:tcW w:w="1276" w:type="dxa"/>
            <w:tcBorders>
              <w:top w:val="outset" w:sz="6" w:space="0" w:color="auto"/>
              <w:left w:val="outset" w:sz="6" w:space="0" w:color="auto"/>
              <w:bottom w:val="outset" w:sz="6" w:space="0" w:color="auto"/>
              <w:right w:val="outset" w:sz="6" w:space="0" w:color="auto"/>
            </w:tcBorders>
            <w:vAlign w:val="center"/>
            <w:hideMark/>
          </w:tcPr>
          <w:p w:rsidR="000A42C6" w:rsidRPr="000A42C6" w:rsidRDefault="000A42C6" w:rsidP="000A42C6">
            <w:pPr>
              <w:spacing w:after="0" w:line="240" w:lineRule="auto"/>
              <w:jc w:val="center"/>
              <w:rPr>
                <w:rFonts w:ascii="Times New Roman" w:eastAsia="Times New Roman" w:hAnsi="Times New Roman" w:cs="Times New Roman"/>
                <w:sz w:val="24"/>
                <w:szCs w:val="24"/>
                <w:lang w:eastAsia="tr-TR"/>
              </w:rPr>
            </w:pPr>
            <w:r w:rsidRPr="000A42C6">
              <w:rPr>
                <w:rFonts w:ascii="Times New Roman" w:eastAsia="Times New Roman" w:hAnsi="Times New Roman" w:cs="Times New Roman"/>
                <w:iCs/>
                <w:sz w:val="24"/>
                <w:szCs w:val="24"/>
                <w:lang w:eastAsia="tr-TR"/>
              </w:rPr>
              <w:t>100</w:t>
            </w:r>
          </w:p>
        </w:tc>
        <w:tc>
          <w:tcPr>
            <w:tcW w:w="1276" w:type="dxa"/>
            <w:tcBorders>
              <w:top w:val="outset" w:sz="6" w:space="0" w:color="auto"/>
              <w:left w:val="outset" w:sz="6" w:space="0" w:color="auto"/>
              <w:bottom w:val="outset" w:sz="6" w:space="0" w:color="auto"/>
              <w:right w:val="outset" w:sz="6" w:space="0" w:color="auto"/>
            </w:tcBorders>
            <w:vAlign w:val="center"/>
            <w:hideMark/>
          </w:tcPr>
          <w:p w:rsidR="000A42C6" w:rsidRPr="000A42C6" w:rsidRDefault="000A42C6" w:rsidP="000A42C6">
            <w:pPr>
              <w:spacing w:after="0" w:line="240" w:lineRule="auto"/>
              <w:jc w:val="center"/>
              <w:rPr>
                <w:rFonts w:ascii="Times New Roman" w:eastAsia="Times New Roman" w:hAnsi="Times New Roman" w:cs="Times New Roman"/>
                <w:sz w:val="24"/>
                <w:szCs w:val="24"/>
                <w:lang w:eastAsia="tr-TR"/>
              </w:rPr>
            </w:pPr>
            <w:r w:rsidRPr="000A42C6">
              <w:rPr>
                <w:rFonts w:ascii="Times New Roman" w:eastAsia="Times New Roman" w:hAnsi="Times New Roman" w:cs="Times New Roman"/>
                <w:iCs/>
                <w:sz w:val="24"/>
                <w:szCs w:val="24"/>
                <w:lang w:eastAsia="tr-TR"/>
              </w:rPr>
              <w:t>90</w:t>
            </w:r>
          </w:p>
        </w:tc>
      </w:tr>
      <w:tr w:rsidR="000A42C6" w:rsidRPr="000A42C6" w:rsidTr="00566D90">
        <w:trPr>
          <w:trHeight w:val="312"/>
        </w:trPr>
        <w:tc>
          <w:tcPr>
            <w:tcW w:w="420" w:type="dxa"/>
            <w:tcBorders>
              <w:top w:val="outset" w:sz="6" w:space="0" w:color="auto"/>
              <w:left w:val="outset" w:sz="6" w:space="0" w:color="auto"/>
              <w:bottom w:val="outset" w:sz="6" w:space="0" w:color="auto"/>
              <w:right w:val="outset" w:sz="6" w:space="0" w:color="auto"/>
            </w:tcBorders>
            <w:vAlign w:val="center"/>
            <w:hideMark/>
          </w:tcPr>
          <w:p w:rsidR="000A42C6" w:rsidRPr="000A42C6" w:rsidRDefault="000A42C6" w:rsidP="000A42C6">
            <w:pPr>
              <w:spacing w:after="0" w:line="240" w:lineRule="auto"/>
              <w:jc w:val="center"/>
              <w:rPr>
                <w:rFonts w:ascii="Times New Roman" w:eastAsia="Times New Roman" w:hAnsi="Times New Roman" w:cs="Times New Roman"/>
                <w:sz w:val="24"/>
                <w:szCs w:val="24"/>
                <w:lang w:eastAsia="tr-TR"/>
              </w:rPr>
            </w:pPr>
            <w:r w:rsidRPr="000A42C6">
              <w:rPr>
                <w:rFonts w:ascii="Times New Roman" w:eastAsia="Times New Roman" w:hAnsi="Times New Roman" w:cs="Times New Roman"/>
                <w:iCs/>
                <w:sz w:val="24"/>
                <w:szCs w:val="24"/>
                <w:lang w:eastAsia="tr-TR"/>
              </w:rPr>
              <w:t>d</w:t>
            </w:r>
          </w:p>
        </w:tc>
        <w:tc>
          <w:tcPr>
            <w:tcW w:w="1840" w:type="dxa"/>
            <w:tcBorders>
              <w:top w:val="outset" w:sz="6" w:space="0" w:color="auto"/>
              <w:left w:val="outset" w:sz="6" w:space="0" w:color="auto"/>
              <w:bottom w:val="outset" w:sz="6" w:space="0" w:color="auto"/>
              <w:right w:val="outset" w:sz="6" w:space="0" w:color="auto"/>
            </w:tcBorders>
            <w:vAlign w:val="center"/>
            <w:hideMark/>
          </w:tcPr>
          <w:p w:rsidR="000A42C6" w:rsidRPr="000A42C6" w:rsidRDefault="000A42C6" w:rsidP="000A42C6">
            <w:pPr>
              <w:spacing w:after="0" w:line="240" w:lineRule="auto"/>
              <w:jc w:val="both"/>
              <w:rPr>
                <w:rFonts w:ascii="Times New Roman" w:eastAsia="Times New Roman" w:hAnsi="Times New Roman" w:cs="Times New Roman"/>
                <w:sz w:val="24"/>
                <w:szCs w:val="24"/>
                <w:lang w:eastAsia="tr-TR"/>
              </w:rPr>
            </w:pPr>
            <w:r w:rsidRPr="000A42C6">
              <w:rPr>
                <w:rFonts w:ascii="Times New Roman" w:eastAsia="Times New Roman" w:hAnsi="Times New Roman" w:cs="Times New Roman"/>
                <w:iCs/>
                <w:sz w:val="24"/>
                <w:szCs w:val="24"/>
                <w:lang w:eastAsia="tr-TR"/>
              </w:rPr>
              <w:t>XZ0000000000</w:t>
            </w:r>
          </w:p>
        </w:tc>
        <w:tc>
          <w:tcPr>
            <w:tcW w:w="4536" w:type="dxa"/>
            <w:tcBorders>
              <w:top w:val="outset" w:sz="6" w:space="0" w:color="auto"/>
              <w:left w:val="outset" w:sz="6" w:space="0" w:color="auto"/>
              <w:bottom w:val="outset" w:sz="6" w:space="0" w:color="auto"/>
              <w:right w:val="outset" w:sz="6" w:space="0" w:color="auto"/>
            </w:tcBorders>
            <w:vAlign w:val="center"/>
            <w:hideMark/>
          </w:tcPr>
          <w:p w:rsidR="000A42C6" w:rsidRPr="000A42C6" w:rsidRDefault="000A42C6" w:rsidP="000A42C6">
            <w:pPr>
              <w:spacing w:after="0" w:line="240" w:lineRule="auto"/>
              <w:jc w:val="both"/>
              <w:rPr>
                <w:rFonts w:ascii="Times New Roman" w:eastAsia="Times New Roman" w:hAnsi="Times New Roman" w:cs="Times New Roman"/>
                <w:sz w:val="24"/>
                <w:szCs w:val="24"/>
                <w:lang w:eastAsia="tr-TR"/>
              </w:rPr>
            </w:pPr>
            <w:r w:rsidRPr="000A42C6">
              <w:rPr>
                <w:rFonts w:ascii="Times New Roman" w:eastAsia="Times New Roman" w:hAnsi="Times New Roman" w:cs="Times New Roman"/>
                <w:iCs/>
                <w:sz w:val="24"/>
                <w:szCs w:val="24"/>
                <w:lang w:eastAsia="tr-TR"/>
              </w:rPr>
              <w:t xml:space="preserve">DEF A.Ş. </w:t>
            </w:r>
            <w:r w:rsidRPr="000A42C6">
              <w:rPr>
                <w:rFonts w:ascii="Times New Roman" w:eastAsia="Times New Roman" w:hAnsi="Times New Roman" w:cs="Times New Roman"/>
                <w:i/>
                <w:iCs/>
                <w:sz w:val="24"/>
                <w:szCs w:val="24"/>
                <w:lang w:eastAsia="tr-TR"/>
              </w:rPr>
              <w:t>(Değer Düşüklüğü Karşılığı -%50)</w:t>
            </w:r>
          </w:p>
        </w:tc>
        <w:tc>
          <w:tcPr>
            <w:tcW w:w="1276" w:type="dxa"/>
            <w:tcBorders>
              <w:top w:val="outset" w:sz="6" w:space="0" w:color="auto"/>
              <w:left w:val="outset" w:sz="6" w:space="0" w:color="auto"/>
              <w:bottom w:val="outset" w:sz="6" w:space="0" w:color="auto"/>
              <w:right w:val="outset" w:sz="6" w:space="0" w:color="auto"/>
            </w:tcBorders>
            <w:vAlign w:val="center"/>
            <w:hideMark/>
          </w:tcPr>
          <w:p w:rsidR="000A42C6" w:rsidRPr="000A42C6" w:rsidRDefault="000A42C6" w:rsidP="000A42C6">
            <w:pPr>
              <w:spacing w:after="0" w:line="240" w:lineRule="auto"/>
              <w:jc w:val="center"/>
              <w:rPr>
                <w:rFonts w:ascii="Times New Roman" w:eastAsia="Times New Roman" w:hAnsi="Times New Roman" w:cs="Times New Roman"/>
                <w:sz w:val="24"/>
                <w:szCs w:val="24"/>
                <w:lang w:eastAsia="tr-TR"/>
              </w:rPr>
            </w:pPr>
          </w:p>
        </w:tc>
        <w:tc>
          <w:tcPr>
            <w:tcW w:w="1276" w:type="dxa"/>
            <w:tcBorders>
              <w:top w:val="outset" w:sz="6" w:space="0" w:color="auto"/>
              <w:left w:val="outset" w:sz="6" w:space="0" w:color="auto"/>
              <w:bottom w:val="outset" w:sz="6" w:space="0" w:color="auto"/>
              <w:right w:val="outset" w:sz="6" w:space="0" w:color="auto"/>
            </w:tcBorders>
            <w:vAlign w:val="center"/>
            <w:hideMark/>
          </w:tcPr>
          <w:p w:rsidR="000A42C6" w:rsidRPr="000A42C6" w:rsidRDefault="000A42C6" w:rsidP="000A42C6">
            <w:pPr>
              <w:spacing w:after="0" w:line="240" w:lineRule="auto"/>
              <w:jc w:val="center"/>
              <w:rPr>
                <w:rFonts w:ascii="Times New Roman" w:eastAsia="Times New Roman" w:hAnsi="Times New Roman" w:cs="Times New Roman"/>
                <w:sz w:val="24"/>
                <w:szCs w:val="24"/>
                <w:lang w:eastAsia="tr-TR"/>
              </w:rPr>
            </w:pPr>
            <w:r w:rsidRPr="000A42C6">
              <w:rPr>
                <w:rFonts w:ascii="Times New Roman" w:eastAsia="Times New Roman" w:hAnsi="Times New Roman" w:cs="Times New Roman"/>
                <w:iCs/>
                <w:sz w:val="24"/>
                <w:szCs w:val="24"/>
                <w:lang w:eastAsia="tr-TR"/>
              </w:rPr>
              <w:t>(-) 45</w:t>
            </w:r>
          </w:p>
        </w:tc>
      </w:tr>
      <w:tr w:rsidR="000A42C6" w:rsidRPr="000A42C6" w:rsidTr="00566D90">
        <w:trPr>
          <w:trHeight w:val="312"/>
        </w:trPr>
        <w:tc>
          <w:tcPr>
            <w:tcW w:w="420" w:type="dxa"/>
            <w:tcBorders>
              <w:top w:val="outset" w:sz="6" w:space="0" w:color="auto"/>
              <w:left w:val="outset" w:sz="6" w:space="0" w:color="auto"/>
              <w:bottom w:val="outset" w:sz="6" w:space="0" w:color="auto"/>
              <w:right w:val="outset" w:sz="6" w:space="0" w:color="auto"/>
            </w:tcBorders>
            <w:vAlign w:val="center"/>
            <w:hideMark/>
          </w:tcPr>
          <w:p w:rsidR="000A42C6" w:rsidRPr="000A42C6" w:rsidRDefault="000A42C6" w:rsidP="000A42C6">
            <w:pPr>
              <w:spacing w:after="0" w:line="240" w:lineRule="auto"/>
              <w:jc w:val="center"/>
              <w:rPr>
                <w:rFonts w:ascii="Times New Roman" w:eastAsia="Times New Roman" w:hAnsi="Times New Roman" w:cs="Times New Roman"/>
                <w:sz w:val="24"/>
                <w:szCs w:val="24"/>
                <w:lang w:eastAsia="tr-TR"/>
              </w:rPr>
            </w:pPr>
            <w:r w:rsidRPr="000A42C6">
              <w:rPr>
                <w:rFonts w:ascii="Times New Roman" w:eastAsia="Times New Roman" w:hAnsi="Times New Roman" w:cs="Times New Roman"/>
                <w:iCs/>
                <w:sz w:val="24"/>
                <w:szCs w:val="24"/>
                <w:lang w:eastAsia="tr-TR"/>
              </w:rPr>
              <w:t>e</w:t>
            </w:r>
          </w:p>
        </w:tc>
        <w:tc>
          <w:tcPr>
            <w:tcW w:w="1840" w:type="dxa"/>
            <w:tcBorders>
              <w:top w:val="outset" w:sz="6" w:space="0" w:color="auto"/>
              <w:left w:val="outset" w:sz="6" w:space="0" w:color="auto"/>
              <w:bottom w:val="outset" w:sz="6" w:space="0" w:color="auto"/>
              <w:right w:val="outset" w:sz="6" w:space="0" w:color="auto"/>
            </w:tcBorders>
            <w:vAlign w:val="center"/>
            <w:hideMark/>
          </w:tcPr>
          <w:p w:rsidR="000A42C6" w:rsidRPr="000A42C6" w:rsidRDefault="000A42C6" w:rsidP="000A42C6">
            <w:pPr>
              <w:spacing w:after="0" w:line="240" w:lineRule="auto"/>
              <w:jc w:val="both"/>
              <w:rPr>
                <w:rFonts w:ascii="Times New Roman" w:eastAsia="Times New Roman" w:hAnsi="Times New Roman" w:cs="Times New Roman"/>
                <w:sz w:val="24"/>
                <w:szCs w:val="24"/>
                <w:lang w:eastAsia="tr-TR"/>
              </w:rPr>
            </w:pPr>
            <w:r w:rsidRPr="000A42C6">
              <w:rPr>
                <w:rFonts w:ascii="Times New Roman" w:eastAsia="Times New Roman" w:hAnsi="Times New Roman" w:cs="Times New Roman"/>
                <w:iCs/>
                <w:sz w:val="24"/>
                <w:szCs w:val="24"/>
                <w:lang w:eastAsia="tr-TR"/>
              </w:rPr>
              <w:t>YY0000000000</w:t>
            </w:r>
          </w:p>
        </w:tc>
        <w:tc>
          <w:tcPr>
            <w:tcW w:w="4536" w:type="dxa"/>
            <w:tcBorders>
              <w:top w:val="outset" w:sz="6" w:space="0" w:color="auto"/>
              <w:left w:val="outset" w:sz="6" w:space="0" w:color="auto"/>
              <w:bottom w:val="outset" w:sz="6" w:space="0" w:color="auto"/>
              <w:right w:val="outset" w:sz="6" w:space="0" w:color="auto"/>
            </w:tcBorders>
            <w:vAlign w:val="center"/>
            <w:hideMark/>
          </w:tcPr>
          <w:p w:rsidR="000A42C6" w:rsidRPr="000A42C6" w:rsidRDefault="000A42C6" w:rsidP="000A42C6">
            <w:pPr>
              <w:spacing w:after="0" w:line="240" w:lineRule="auto"/>
              <w:jc w:val="both"/>
              <w:rPr>
                <w:rFonts w:ascii="Times New Roman" w:eastAsia="Times New Roman" w:hAnsi="Times New Roman" w:cs="Times New Roman"/>
                <w:sz w:val="24"/>
                <w:szCs w:val="24"/>
                <w:lang w:eastAsia="tr-TR"/>
              </w:rPr>
            </w:pPr>
            <w:r w:rsidRPr="000A42C6">
              <w:rPr>
                <w:rFonts w:ascii="Times New Roman" w:eastAsia="Times New Roman" w:hAnsi="Times New Roman" w:cs="Times New Roman"/>
                <w:iCs/>
                <w:sz w:val="24"/>
                <w:szCs w:val="24"/>
                <w:lang w:eastAsia="tr-TR"/>
              </w:rPr>
              <w:t>KLM A.Ş.</w:t>
            </w:r>
          </w:p>
        </w:tc>
        <w:tc>
          <w:tcPr>
            <w:tcW w:w="1276" w:type="dxa"/>
            <w:tcBorders>
              <w:top w:val="outset" w:sz="6" w:space="0" w:color="auto"/>
              <w:left w:val="outset" w:sz="6" w:space="0" w:color="auto"/>
              <w:bottom w:val="outset" w:sz="6" w:space="0" w:color="auto"/>
              <w:right w:val="outset" w:sz="6" w:space="0" w:color="auto"/>
            </w:tcBorders>
            <w:vAlign w:val="center"/>
            <w:hideMark/>
          </w:tcPr>
          <w:p w:rsidR="000A42C6" w:rsidRPr="000A42C6" w:rsidRDefault="000A42C6" w:rsidP="000A42C6">
            <w:pPr>
              <w:spacing w:after="0" w:line="240" w:lineRule="auto"/>
              <w:jc w:val="center"/>
              <w:rPr>
                <w:rFonts w:ascii="Times New Roman" w:eastAsia="Times New Roman" w:hAnsi="Times New Roman" w:cs="Times New Roman"/>
                <w:sz w:val="24"/>
                <w:szCs w:val="24"/>
                <w:lang w:eastAsia="tr-TR"/>
              </w:rPr>
            </w:pPr>
            <w:r w:rsidRPr="000A42C6">
              <w:rPr>
                <w:rFonts w:ascii="Times New Roman" w:eastAsia="Times New Roman" w:hAnsi="Times New Roman" w:cs="Times New Roman"/>
                <w:iCs/>
                <w:sz w:val="24"/>
                <w:szCs w:val="24"/>
                <w:lang w:eastAsia="tr-TR"/>
              </w:rPr>
              <w:t>100</w:t>
            </w:r>
          </w:p>
        </w:tc>
        <w:tc>
          <w:tcPr>
            <w:tcW w:w="1276" w:type="dxa"/>
            <w:tcBorders>
              <w:top w:val="outset" w:sz="6" w:space="0" w:color="auto"/>
              <w:left w:val="outset" w:sz="6" w:space="0" w:color="auto"/>
              <w:bottom w:val="outset" w:sz="6" w:space="0" w:color="auto"/>
              <w:right w:val="outset" w:sz="6" w:space="0" w:color="auto"/>
            </w:tcBorders>
            <w:vAlign w:val="center"/>
            <w:hideMark/>
          </w:tcPr>
          <w:p w:rsidR="000A42C6" w:rsidRPr="000A42C6" w:rsidRDefault="000A42C6" w:rsidP="000A42C6">
            <w:pPr>
              <w:spacing w:after="0" w:line="240" w:lineRule="auto"/>
              <w:jc w:val="center"/>
              <w:rPr>
                <w:rFonts w:ascii="Times New Roman" w:eastAsia="Times New Roman" w:hAnsi="Times New Roman" w:cs="Times New Roman"/>
                <w:sz w:val="24"/>
                <w:szCs w:val="24"/>
                <w:lang w:eastAsia="tr-TR"/>
              </w:rPr>
            </w:pPr>
            <w:r w:rsidRPr="000A42C6">
              <w:rPr>
                <w:rFonts w:ascii="Times New Roman" w:eastAsia="Times New Roman" w:hAnsi="Times New Roman" w:cs="Times New Roman"/>
                <w:iCs/>
                <w:sz w:val="24"/>
                <w:szCs w:val="24"/>
                <w:lang w:eastAsia="tr-TR"/>
              </w:rPr>
              <w:t>80</w:t>
            </w:r>
          </w:p>
        </w:tc>
      </w:tr>
      <w:tr w:rsidR="000A42C6" w:rsidRPr="000A42C6" w:rsidTr="00566D90">
        <w:trPr>
          <w:trHeight w:val="312"/>
        </w:trPr>
        <w:tc>
          <w:tcPr>
            <w:tcW w:w="420" w:type="dxa"/>
            <w:tcBorders>
              <w:top w:val="outset" w:sz="6" w:space="0" w:color="auto"/>
              <w:left w:val="outset" w:sz="6" w:space="0" w:color="auto"/>
              <w:bottom w:val="outset" w:sz="6" w:space="0" w:color="auto"/>
              <w:right w:val="outset" w:sz="6" w:space="0" w:color="auto"/>
            </w:tcBorders>
            <w:vAlign w:val="center"/>
            <w:hideMark/>
          </w:tcPr>
          <w:p w:rsidR="000A42C6" w:rsidRPr="000A42C6" w:rsidRDefault="000A42C6" w:rsidP="000A42C6">
            <w:pPr>
              <w:spacing w:after="0" w:line="240" w:lineRule="auto"/>
              <w:jc w:val="center"/>
              <w:rPr>
                <w:rFonts w:ascii="Times New Roman" w:eastAsia="Times New Roman" w:hAnsi="Times New Roman" w:cs="Times New Roman"/>
                <w:b/>
                <w:sz w:val="24"/>
                <w:szCs w:val="24"/>
                <w:lang w:eastAsia="tr-TR"/>
              </w:rPr>
            </w:pPr>
            <w:r w:rsidRPr="000A42C6">
              <w:rPr>
                <w:rFonts w:ascii="Times New Roman" w:eastAsia="Times New Roman" w:hAnsi="Times New Roman" w:cs="Times New Roman"/>
                <w:b/>
                <w:bCs/>
                <w:iCs/>
                <w:sz w:val="24"/>
                <w:szCs w:val="24"/>
                <w:lang w:eastAsia="tr-TR"/>
              </w:rPr>
              <w:t>f</w:t>
            </w:r>
          </w:p>
        </w:tc>
        <w:tc>
          <w:tcPr>
            <w:tcW w:w="6376" w:type="dxa"/>
            <w:gridSpan w:val="2"/>
            <w:tcBorders>
              <w:top w:val="outset" w:sz="6" w:space="0" w:color="auto"/>
              <w:left w:val="outset" w:sz="6" w:space="0" w:color="auto"/>
              <w:bottom w:val="outset" w:sz="6" w:space="0" w:color="auto"/>
              <w:right w:val="outset" w:sz="6" w:space="0" w:color="auto"/>
            </w:tcBorders>
            <w:vAlign w:val="center"/>
            <w:hideMark/>
          </w:tcPr>
          <w:p w:rsidR="000A42C6" w:rsidRPr="000A42C6" w:rsidRDefault="000A42C6" w:rsidP="000A42C6">
            <w:pPr>
              <w:spacing w:after="0" w:line="240" w:lineRule="auto"/>
              <w:jc w:val="both"/>
              <w:rPr>
                <w:rFonts w:ascii="Times New Roman" w:eastAsia="Times New Roman" w:hAnsi="Times New Roman" w:cs="Times New Roman"/>
                <w:b/>
                <w:sz w:val="24"/>
                <w:szCs w:val="24"/>
                <w:lang w:eastAsia="tr-TR"/>
              </w:rPr>
            </w:pPr>
            <w:r w:rsidRPr="000A42C6">
              <w:rPr>
                <w:rFonts w:ascii="Times New Roman" w:eastAsia="Times New Roman" w:hAnsi="Times New Roman" w:cs="Times New Roman"/>
                <w:b/>
                <w:bCs/>
                <w:iCs/>
                <w:sz w:val="24"/>
                <w:szCs w:val="24"/>
                <w:lang w:eastAsia="tr-TR"/>
              </w:rPr>
              <w:t>BORÇLANMA SENETLERİ TOPLAMI</w:t>
            </w:r>
          </w:p>
        </w:tc>
        <w:tc>
          <w:tcPr>
            <w:tcW w:w="1276" w:type="dxa"/>
            <w:tcBorders>
              <w:top w:val="outset" w:sz="6" w:space="0" w:color="auto"/>
              <w:left w:val="outset" w:sz="6" w:space="0" w:color="auto"/>
              <w:bottom w:val="outset" w:sz="6" w:space="0" w:color="auto"/>
              <w:right w:val="outset" w:sz="6" w:space="0" w:color="auto"/>
            </w:tcBorders>
            <w:vAlign w:val="center"/>
            <w:hideMark/>
          </w:tcPr>
          <w:p w:rsidR="000A42C6" w:rsidRPr="000A42C6" w:rsidRDefault="000A42C6" w:rsidP="000A42C6">
            <w:pPr>
              <w:spacing w:after="0" w:line="240" w:lineRule="auto"/>
              <w:jc w:val="center"/>
              <w:rPr>
                <w:rFonts w:ascii="Times New Roman" w:eastAsia="Times New Roman" w:hAnsi="Times New Roman" w:cs="Times New Roman"/>
                <w:b/>
                <w:sz w:val="24"/>
                <w:szCs w:val="24"/>
                <w:lang w:eastAsia="tr-TR"/>
              </w:rPr>
            </w:pPr>
            <w:r w:rsidRPr="000A42C6">
              <w:rPr>
                <w:rFonts w:ascii="Times New Roman" w:eastAsia="Times New Roman" w:hAnsi="Times New Roman" w:cs="Times New Roman"/>
                <w:b/>
                <w:bCs/>
                <w:iCs/>
                <w:sz w:val="24"/>
                <w:szCs w:val="24"/>
                <w:lang w:eastAsia="tr-TR"/>
              </w:rPr>
              <w:t>300</w:t>
            </w:r>
          </w:p>
        </w:tc>
        <w:tc>
          <w:tcPr>
            <w:tcW w:w="1276" w:type="dxa"/>
            <w:tcBorders>
              <w:top w:val="outset" w:sz="6" w:space="0" w:color="auto"/>
              <w:left w:val="outset" w:sz="6" w:space="0" w:color="auto"/>
              <w:bottom w:val="outset" w:sz="6" w:space="0" w:color="auto"/>
              <w:right w:val="outset" w:sz="6" w:space="0" w:color="auto"/>
            </w:tcBorders>
            <w:vAlign w:val="center"/>
            <w:hideMark/>
          </w:tcPr>
          <w:p w:rsidR="000A42C6" w:rsidRPr="000A42C6" w:rsidRDefault="000A42C6" w:rsidP="000A42C6">
            <w:pPr>
              <w:spacing w:after="0" w:line="240" w:lineRule="auto"/>
              <w:jc w:val="center"/>
              <w:rPr>
                <w:rFonts w:ascii="Times New Roman" w:eastAsia="Times New Roman" w:hAnsi="Times New Roman" w:cs="Times New Roman"/>
                <w:b/>
                <w:sz w:val="24"/>
                <w:szCs w:val="24"/>
                <w:lang w:eastAsia="tr-TR"/>
              </w:rPr>
            </w:pPr>
            <w:r w:rsidRPr="000A42C6">
              <w:rPr>
                <w:rFonts w:ascii="Times New Roman" w:eastAsia="Times New Roman" w:hAnsi="Times New Roman" w:cs="Times New Roman"/>
                <w:b/>
                <w:bCs/>
                <w:iCs/>
                <w:sz w:val="24"/>
                <w:szCs w:val="24"/>
                <w:lang w:eastAsia="tr-TR"/>
              </w:rPr>
              <w:t>125</w:t>
            </w:r>
          </w:p>
        </w:tc>
      </w:tr>
    </w:tbl>
    <w:p w:rsidR="000A42C6" w:rsidRPr="000A42C6" w:rsidRDefault="000A42C6" w:rsidP="000A42C6">
      <w:pPr>
        <w:spacing w:after="0" w:line="240" w:lineRule="auto"/>
        <w:ind w:firstLine="993"/>
        <w:jc w:val="center"/>
        <w:rPr>
          <w:rFonts w:ascii="Times New Roman" w:eastAsia="Times New Roman" w:hAnsi="Times New Roman" w:cs="Times New Roman"/>
          <w:sz w:val="24"/>
          <w:szCs w:val="24"/>
        </w:rPr>
      </w:pPr>
      <w:r w:rsidRPr="000A42C6">
        <w:rPr>
          <w:rFonts w:ascii="Times New Roman" w:eastAsia="Times New Roman" w:hAnsi="Times New Roman" w:cs="Times New Roman"/>
          <w:sz w:val="24"/>
          <w:szCs w:val="24"/>
        </w:rPr>
        <w:t>1</w:t>
      </w:r>
      <w:r w:rsidRPr="000A42C6">
        <w:rPr>
          <w:rFonts w:ascii="Times New Roman" w:eastAsia="Times New Roman" w:hAnsi="Times New Roman" w:cs="Times New Roman"/>
          <w:sz w:val="24"/>
          <w:szCs w:val="24"/>
        </w:rPr>
        <w:br w:type="page"/>
      </w:r>
    </w:p>
    <w:p w:rsidR="000A42C6" w:rsidRPr="000A42C6" w:rsidRDefault="000A42C6" w:rsidP="000A42C6">
      <w:pPr>
        <w:spacing w:after="0" w:line="240" w:lineRule="auto"/>
        <w:ind w:firstLine="993"/>
        <w:jc w:val="both"/>
        <w:rPr>
          <w:rFonts w:ascii="Times New Roman" w:eastAsia="Times New Roman" w:hAnsi="Times New Roman" w:cs="Times New Roman"/>
          <w:sz w:val="24"/>
          <w:szCs w:val="24"/>
        </w:rPr>
      </w:pPr>
      <w:r w:rsidRPr="000A42C6">
        <w:rPr>
          <w:rFonts w:ascii="Times New Roman" w:eastAsia="Times New Roman" w:hAnsi="Times New Roman" w:cs="Times New Roman"/>
          <w:sz w:val="24"/>
          <w:szCs w:val="24"/>
        </w:rPr>
        <w:t>c) Fon portföyünde yer alan özel sektör borçlanma araçlarına ve kira sertifikalarına ilişkin olarak, Rehber’in 5.1.2. maddesi ve TSPB düzenlemeleri çerçevesinde tek seferde veya kademeli olarak %100 oranında karşılık ayrılması ve % 100 oranında karşılık ayrıldığı tarihte veya takip eden tarihlerde anılan varlığın tutarının fon toplam değerinin %5’ini aşması halinde, karşılığın ayrıldığı tarihte fonda mevcut bulunan katılma payı sahiplerinin haklarının takibi için;</w:t>
      </w:r>
    </w:p>
    <w:p w:rsidR="000A42C6" w:rsidRPr="000A42C6" w:rsidRDefault="000A42C6" w:rsidP="000A42C6">
      <w:pPr>
        <w:spacing w:after="0" w:line="240" w:lineRule="auto"/>
        <w:ind w:firstLine="993"/>
        <w:jc w:val="both"/>
        <w:rPr>
          <w:rFonts w:ascii="Times New Roman" w:eastAsia="Times New Roman" w:hAnsi="Times New Roman" w:cs="Times New Roman"/>
          <w:sz w:val="24"/>
          <w:szCs w:val="24"/>
        </w:rPr>
      </w:pPr>
      <w:r w:rsidRPr="000A42C6">
        <w:rPr>
          <w:rFonts w:ascii="Times New Roman" w:eastAsia="Times New Roman" w:hAnsi="Times New Roman" w:cs="Times New Roman"/>
          <w:sz w:val="24"/>
          <w:szCs w:val="24"/>
        </w:rPr>
        <w:t>- Söz konusu varlık fon portföyünden ayrıştırılır,</w:t>
      </w:r>
    </w:p>
    <w:p w:rsidR="000A42C6" w:rsidRPr="000A42C6" w:rsidRDefault="000A42C6" w:rsidP="000A42C6">
      <w:pPr>
        <w:spacing w:after="0" w:line="240" w:lineRule="auto"/>
        <w:ind w:firstLine="993"/>
        <w:jc w:val="both"/>
        <w:rPr>
          <w:rFonts w:ascii="Times New Roman" w:eastAsia="Times New Roman" w:hAnsi="Times New Roman" w:cs="Times New Roman"/>
          <w:sz w:val="24"/>
          <w:szCs w:val="24"/>
        </w:rPr>
      </w:pPr>
      <w:r w:rsidRPr="000A42C6">
        <w:rPr>
          <w:rFonts w:ascii="Times New Roman" w:eastAsia="Times New Roman" w:hAnsi="Times New Roman" w:cs="Times New Roman"/>
          <w:sz w:val="24"/>
          <w:szCs w:val="24"/>
        </w:rPr>
        <w:t>- Takasbank nezdinde fonun mevcut saklama hesabından ayrı bir hesap (yan hesap) açılır,</w:t>
      </w:r>
    </w:p>
    <w:p w:rsidR="000A42C6" w:rsidRPr="000A42C6" w:rsidRDefault="000A42C6" w:rsidP="000A42C6">
      <w:pPr>
        <w:spacing w:after="0" w:line="240" w:lineRule="auto"/>
        <w:ind w:firstLine="993"/>
        <w:jc w:val="both"/>
        <w:rPr>
          <w:rFonts w:ascii="Times New Roman" w:eastAsia="Times New Roman" w:hAnsi="Times New Roman" w:cs="Times New Roman"/>
          <w:sz w:val="24"/>
          <w:szCs w:val="24"/>
        </w:rPr>
      </w:pPr>
      <w:r w:rsidRPr="000A42C6">
        <w:rPr>
          <w:rFonts w:ascii="Times New Roman" w:eastAsia="Times New Roman" w:hAnsi="Times New Roman" w:cs="Times New Roman"/>
          <w:sz w:val="24"/>
          <w:szCs w:val="24"/>
        </w:rPr>
        <w:t xml:space="preserve">- Anılan varlık, </w:t>
      </w:r>
      <w:r w:rsidRPr="000A42C6">
        <w:rPr>
          <w:rFonts w:ascii="Times New Roman" w:eastAsia="Times New Roman" w:hAnsi="Times New Roman" w:cs="Times New Roman"/>
          <w:sz w:val="24"/>
          <w:szCs w:val="24"/>
          <w:u w:val="single"/>
        </w:rPr>
        <w:t>%100 oranında karşılık ayrıldığı tarihte</w:t>
      </w:r>
      <w:r w:rsidRPr="000A42C6">
        <w:rPr>
          <w:rFonts w:ascii="Times New Roman" w:eastAsia="Times New Roman" w:hAnsi="Times New Roman" w:cs="Times New Roman"/>
          <w:sz w:val="24"/>
          <w:szCs w:val="24"/>
        </w:rPr>
        <w:t xml:space="preserve"> fonda mevcut bulunan katılma payı sahipleri ile ilişkilendirilerek bu hesapta (yan hesap) saklanmaya başlanır. </w:t>
      </w:r>
    </w:p>
    <w:p w:rsidR="000A42C6" w:rsidRPr="000A42C6" w:rsidRDefault="000A42C6" w:rsidP="000A42C6">
      <w:pPr>
        <w:spacing w:after="0" w:line="240" w:lineRule="auto"/>
        <w:ind w:firstLine="993"/>
        <w:jc w:val="both"/>
        <w:rPr>
          <w:rFonts w:ascii="Times New Roman" w:eastAsia="Times New Roman" w:hAnsi="Times New Roman" w:cs="Times New Roman"/>
          <w:sz w:val="24"/>
          <w:szCs w:val="24"/>
        </w:rPr>
      </w:pPr>
      <w:r w:rsidRPr="000A42C6">
        <w:rPr>
          <w:rFonts w:ascii="Times New Roman" w:eastAsia="Times New Roman" w:hAnsi="Times New Roman" w:cs="Times New Roman"/>
          <w:sz w:val="24"/>
          <w:szCs w:val="24"/>
        </w:rPr>
        <w:t>d) Kurul Karar Organı tarafından tasfiyesine karar verilmiş veya tasfiye edilmesi talebi olumlu karşılanmış bir yatırım fonunun portföyünde %100 oranında karşılık ayrılmış özel sektör borçlanma aracı veya kira sertifikası bulunması halinde;</w:t>
      </w:r>
    </w:p>
    <w:p w:rsidR="000A42C6" w:rsidRPr="000A42C6" w:rsidRDefault="000A42C6" w:rsidP="000A42C6">
      <w:pPr>
        <w:spacing w:after="0" w:line="240" w:lineRule="auto"/>
        <w:ind w:firstLine="993"/>
        <w:jc w:val="both"/>
        <w:rPr>
          <w:rFonts w:ascii="Times New Roman" w:eastAsia="Times New Roman" w:hAnsi="Times New Roman" w:cs="Times New Roman"/>
          <w:sz w:val="24"/>
          <w:szCs w:val="24"/>
        </w:rPr>
      </w:pPr>
      <w:r w:rsidRPr="000A42C6">
        <w:rPr>
          <w:rFonts w:ascii="Times New Roman" w:eastAsia="Times New Roman" w:hAnsi="Times New Roman" w:cs="Times New Roman"/>
          <w:sz w:val="24"/>
          <w:szCs w:val="24"/>
        </w:rPr>
        <w:t>- Söz konusu varlık tasfiyeye ilişkin duyuru metninin KAP’ta yayımlandığı tarih itibariyle fon portföyünden ayrıştırılır,</w:t>
      </w:r>
    </w:p>
    <w:p w:rsidR="000A42C6" w:rsidRPr="000A42C6" w:rsidRDefault="000A42C6" w:rsidP="000A42C6">
      <w:pPr>
        <w:spacing w:after="0" w:line="240" w:lineRule="auto"/>
        <w:ind w:firstLine="993"/>
        <w:jc w:val="both"/>
        <w:rPr>
          <w:rFonts w:ascii="Times New Roman" w:eastAsia="Times New Roman" w:hAnsi="Times New Roman" w:cs="Times New Roman"/>
          <w:sz w:val="24"/>
          <w:szCs w:val="24"/>
        </w:rPr>
      </w:pPr>
      <w:r w:rsidRPr="000A42C6">
        <w:rPr>
          <w:rFonts w:ascii="Times New Roman" w:eastAsia="Times New Roman" w:hAnsi="Times New Roman" w:cs="Times New Roman"/>
          <w:sz w:val="24"/>
          <w:szCs w:val="24"/>
        </w:rPr>
        <w:t>- Takasbank nezdinde fonun mevcut saklama hesabından ayrı bir hesap (yan hesap) açılır,</w:t>
      </w:r>
    </w:p>
    <w:p w:rsidR="000A42C6" w:rsidRPr="000A42C6" w:rsidRDefault="000A42C6" w:rsidP="000A42C6">
      <w:pPr>
        <w:spacing w:after="0" w:line="240" w:lineRule="auto"/>
        <w:ind w:firstLine="993"/>
        <w:jc w:val="both"/>
        <w:rPr>
          <w:rFonts w:ascii="Times New Roman" w:eastAsia="Times New Roman" w:hAnsi="Times New Roman" w:cs="Times New Roman"/>
          <w:sz w:val="24"/>
          <w:szCs w:val="24"/>
        </w:rPr>
      </w:pPr>
      <w:r w:rsidRPr="000A42C6">
        <w:rPr>
          <w:rFonts w:ascii="Times New Roman" w:eastAsia="Times New Roman" w:hAnsi="Times New Roman" w:cs="Times New Roman"/>
          <w:sz w:val="24"/>
          <w:szCs w:val="24"/>
        </w:rPr>
        <w:t xml:space="preserve">- Anılan varlık, </w:t>
      </w:r>
      <w:r w:rsidRPr="000A42C6">
        <w:rPr>
          <w:rFonts w:ascii="Times New Roman" w:eastAsia="Times New Roman" w:hAnsi="Times New Roman" w:cs="Times New Roman"/>
          <w:sz w:val="24"/>
          <w:szCs w:val="24"/>
          <w:u w:val="single"/>
        </w:rPr>
        <w:t>%100 oranında karşılık ayrıldığı tarihte</w:t>
      </w:r>
      <w:r w:rsidRPr="000A42C6">
        <w:rPr>
          <w:rFonts w:ascii="Times New Roman" w:eastAsia="Times New Roman" w:hAnsi="Times New Roman" w:cs="Times New Roman"/>
          <w:sz w:val="24"/>
          <w:szCs w:val="24"/>
        </w:rPr>
        <w:t xml:space="preserve"> fonda mevcut bulunan katılma payı sahipleri ile ilişkilendirilerek bu hesapta (yan hesap) saklanmaya başlanır.  </w:t>
      </w:r>
    </w:p>
    <w:p w:rsidR="000A42C6" w:rsidRPr="000A42C6" w:rsidRDefault="000A42C6" w:rsidP="000A42C6">
      <w:pPr>
        <w:spacing w:after="0" w:line="240" w:lineRule="auto"/>
        <w:ind w:firstLine="993"/>
        <w:jc w:val="both"/>
        <w:rPr>
          <w:rFonts w:ascii="Times New Roman" w:eastAsia="Times New Roman" w:hAnsi="Times New Roman" w:cs="Times New Roman"/>
          <w:sz w:val="24"/>
          <w:szCs w:val="24"/>
        </w:rPr>
      </w:pPr>
      <w:r w:rsidRPr="000A42C6">
        <w:rPr>
          <w:rFonts w:ascii="Times New Roman" w:eastAsia="Times New Roman" w:hAnsi="Times New Roman" w:cs="Times New Roman"/>
          <w:sz w:val="24"/>
          <w:szCs w:val="24"/>
        </w:rPr>
        <w:t xml:space="preserve">e) Yan hesapta yer alan varlıklara ilişkin olarak yapılan ödemeler (örneğin, borçlanma aracının kupon veya anapara ödemesi) söz konusu varlığa karşılık ayrıldığı tarihte fondaki katılma pay sahipliği oranları dikkate alınarak, yan hesap ile ilişkilendirilen katılma payı sahiplerine ödenmek üzere anılan hesapların bulunduğu yatırım kuruluşlarına aktarılır.  </w:t>
      </w:r>
    </w:p>
    <w:p w:rsidR="000A42C6" w:rsidRPr="000A42C6" w:rsidRDefault="000A42C6" w:rsidP="000A42C6">
      <w:pPr>
        <w:spacing w:after="0" w:line="240" w:lineRule="auto"/>
        <w:ind w:firstLine="993"/>
        <w:jc w:val="both"/>
        <w:rPr>
          <w:rFonts w:ascii="Times New Roman" w:eastAsia="Times New Roman" w:hAnsi="Times New Roman" w:cs="Times New Roman"/>
          <w:sz w:val="24"/>
          <w:szCs w:val="24"/>
        </w:rPr>
      </w:pPr>
      <w:r w:rsidRPr="000A42C6">
        <w:rPr>
          <w:rFonts w:ascii="Times New Roman" w:eastAsia="Times New Roman" w:hAnsi="Times New Roman" w:cs="Times New Roman"/>
          <w:sz w:val="24"/>
          <w:szCs w:val="24"/>
        </w:rPr>
        <w:t>f) Yan hesap, hesapta yer alan varlığa ilişkin olarak hak sahiplerine yapılacak ödemelerin tamamlanması veya ilgili mevzuat hükümleri çerçevesinde herhangi bir tahsilat yapılamayacağının kesinleşmesi halinde ilgili fonun portföy saklayıcısının bildirimi üzerine kapatılır.</w:t>
      </w:r>
    </w:p>
    <w:p w:rsidR="000A42C6" w:rsidRPr="000A42C6" w:rsidRDefault="000A42C6" w:rsidP="000A42C6">
      <w:pPr>
        <w:spacing w:after="0" w:line="240" w:lineRule="auto"/>
        <w:ind w:firstLine="993"/>
        <w:jc w:val="both"/>
        <w:rPr>
          <w:rFonts w:ascii="Times New Roman" w:eastAsia="Times New Roman" w:hAnsi="Times New Roman" w:cs="Times New Roman"/>
          <w:sz w:val="24"/>
          <w:szCs w:val="24"/>
        </w:rPr>
      </w:pPr>
      <w:r w:rsidRPr="000A42C6">
        <w:rPr>
          <w:rFonts w:ascii="Times New Roman" w:eastAsia="Times New Roman" w:hAnsi="Times New Roman" w:cs="Times New Roman"/>
          <w:sz w:val="24"/>
          <w:szCs w:val="24"/>
        </w:rPr>
        <w:t>g) Yan hesabın, Rehber’in bu maddesinin;</w:t>
      </w:r>
    </w:p>
    <w:p w:rsidR="000A42C6" w:rsidRPr="000A42C6" w:rsidRDefault="000A42C6" w:rsidP="000A42C6">
      <w:pPr>
        <w:spacing w:after="0" w:line="240" w:lineRule="auto"/>
        <w:ind w:firstLine="993"/>
        <w:jc w:val="both"/>
        <w:rPr>
          <w:rFonts w:ascii="Times New Roman" w:eastAsia="Times New Roman" w:hAnsi="Times New Roman" w:cs="Times New Roman"/>
          <w:sz w:val="24"/>
          <w:szCs w:val="24"/>
        </w:rPr>
      </w:pPr>
      <w:r w:rsidRPr="000A42C6">
        <w:rPr>
          <w:rFonts w:ascii="Times New Roman" w:eastAsia="Times New Roman" w:hAnsi="Times New Roman" w:cs="Times New Roman"/>
          <w:sz w:val="24"/>
          <w:szCs w:val="24"/>
        </w:rPr>
        <w:t xml:space="preserve">- (c) bendi kapsamında oluşturulması halinde konuya ilişkin olarak Kurucu tarafından KAP’ta açıklama yapılır. </w:t>
      </w:r>
    </w:p>
    <w:p w:rsidR="000A42C6" w:rsidRPr="000A42C6" w:rsidRDefault="000A42C6" w:rsidP="000A42C6">
      <w:pPr>
        <w:spacing w:after="0" w:line="240" w:lineRule="auto"/>
        <w:ind w:firstLine="993"/>
        <w:jc w:val="both"/>
        <w:rPr>
          <w:rFonts w:ascii="Times New Roman" w:eastAsia="Times New Roman" w:hAnsi="Times New Roman" w:cs="Times New Roman"/>
          <w:sz w:val="24"/>
          <w:szCs w:val="24"/>
        </w:rPr>
      </w:pPr>
      <w:r w:rsidRPr="000A42C6">
        <w:rPr>
          <w:rFonts w:ascii="Times New Roman" w:eastAsia="Times New Roman" w:hAnsi="Times New Roman" w:cs="Times New Roman"/>
          <w:sz w:val="24"/>
          <w:szCs w:val="24"/>
        </w:rPr>
        <w:t>- (d) bendi kapsamında oluşturulması halinde Kurucu tarafından KAP’ta yayımlanan tasfiyeye ilişkin duyuru metninde konuya ilişkin bilgiye yer verilir.</w:t>
      </w:r>
    </w:p>
    <w:p w:rsidR="000A42C6" w:rsidRPr="000A42C6" w:rsidRDefault="000A42C6" w:rsidP="000A42C6">
      <w:pPr>
        <w:spacing w:after="0" w:line="240" w:lineRule="auto"/>
        <w:ind w:firstLine="993"/>
        <w:jc w:val="both"/>
        <w:rPr>
          <w:rFonts w:ascii="Times New Roman" w:eastAsia="Times New Roman" w:hAnsi="Times New Roman" w:cs="Times New Roman"/>
          <w:sz w:val="24"/>
          <w:szCs w:val="24"/>
        </w:rPr>
      </w:pPr>
      <w:r w:rsidRPr="000A42C6">
        <w:rPr>
          <w:rFonts w:ascii="Times New Roman" w:eastAsia="Times New Roman" w:hAnsi="Times New Roman" w:cs="Times New Roman"/>
          <w:sz w:val="24"/>
          <w:szCs w:val="24"/>
        </w:rPr>
        <w:t>h) Yan hesabın oluşturulması durumunda da katılma payı sahiplerinin haklarının korunmasına ilişkin olarak Kurucu’nun Kanun’un 52. maddesinin üçüncü fıkrasında, portföy saklayıcısının Kanun’un 56. maddesinin birinci ve ikinci fıkralarında yer alan sorumlulukları devam eder.</w:t>
      </w:r>
    </w:p>
    <w:p w:rsidR="000A42C6" w:rsidRPr="000A42C6" w:rsidRDefault="000A42C6" w:rsidP="000A42C6">
      <w:pPr>
        <w:spacing w:after="0" w:line="240" w:lineRule="auto"/>
        <w:ind w:firstLine="993"/>
        <w:jc w:val="both"/>
        <w:rPr>
          <w:rFonts w:ascii="Times New Roman" w:eastAsia="Times New Roman" w:hAnsi="Times New Roman" w:cs="Times New Roman"/>
          <w:sz w:val="24"/>
          <w:szCs w:val="24"/>
        </w:rPr>
      </w:pPr>
      <w:r w:rsidRPr="000A42C6">
        <w:rPr>
          <w:rFonts w:ascii="Times New Roman" w:eastAsia="Times New Roman" w:hAnsi="Times New Roman" w:cs="Times New Roman"/>
          <w:sz w:val="24"/>
          <w:szCs w:val="24"/>
        </w:rPr>
        <w:t>ı) Yan hesaba aktarılan varlık ile ilgili yürütülen işlemlere ilişkin her tür harcama, Rehber’in 5.1.2. maddesinin (ii) nolu bendi kapsamında Kurucu tarafından karşılanır.</w:t>
      </w:r>
    </w:p>
    <w:p w:rsidR="000A42C6" w:rsidRPr="000A42C6" w:rsidRDefault="000A42C6" w:rsidP="000A42C6">
      <w:pPr>
        <w:spacing w:after="0" w:line="240" w:lineRule="auto"/>
        <w:ind w:firstLine="993"/>
        <w:jc w:val="both"/>
        <w:rPr>
          <w:rFonts w:ascii="Times New Roman" w:eastAsia="Times New Roman" w:hAnsi="Times New Roman" w:cs="Times New Roman"/>
          <w:sz w:val="24"/>
          <w:szCs w:val="24"/>
        </w:rPr>
      </w:pPr>
      <w:r w:rsidRPr="000A42C6">
        <w:rPr>
          <w:rFonts w:ascii="Times New Roman" w:eastAsia="Times New Roman" w:hAnsi="Times New Roman" w:cs="Times New Roman"/>
          <w:sz w:val="24"/>
          <w:szCs w:val="24"/>
        </w:rPr>
        <w:t>i) Rehber’in bu maddesi kapsamında yan hesabın oluşması, katılma pay sahiplerine nakit ödemelerin yapılması, hesabın kapatılması ve gerekli diğer işlemlere ilişkin prosedürler ve iş akış süreçleri MKK ve Takasbank tarafından oluşturularak uygulamaya konulur ve bu kurallara fonun kurucusunun, portföy saklayıcısının ve katılma payı sahiplerinin hesaplarının bulunduğu yatırım kuruluşlarının uyması zorunludur. Yan hesaba ilişkin operasyonel süreçlerin yürütülmesi için gerekli olan her tür bilgi ilgili fonun kurucusu tarafından portföy saklayıcısı, MKK ile Takasbank’a bildirilir.</w:t>
      </w:r>
    </w:p>
    <w:p w:rsidR="000A42C6" w:rsidRDefault="000A42C6" w:rsidP="000A42C6">
      <w:pPr>
        <w:spacing w:after="0" w:line="240" w:lineRule="auto"/>
        <w:ind w:firstLine="993"/>
        <w:jc w:val="both"/>
        <w:rPr>
          <w:rFonts w:ascii="Times New Roman" w:eastAsia="Times New Roman" w:hAnsi="Times New Roman" w:cs="Times New Roman"/>
          <w:sz w:val="24"/>
          <w:szCs w:val="24"/>
        </w:rPr>
      </w:pPr>
      <w:r w:rsidRPr="000A42C6">
        <w:rPr>
          <w:rFonts w:ascii="Times New Roman" w:eastAsia="Times New Roman" w:hAnsi="Times New Roman" w:cs="Times New Roman"/>
          <w:sz w:val="24"/>
          <w:szCs w:val="24"/>
        </w:rPr>
        <w:t>j) Bu madde kapsamında Kurucu tarafından yerine getirilmesi gereken yükümlülükler, Kurucu’nun faaliyet izinlerinin geçici olarak durdurulması veya iptali halinde fonun portföy saklayıcısı tarafından yerine getirilir.</w:t>
      </w:r>
    </w:p>
    <w:p w:rsidR="002B6E3B" w:rsidRPr="000A42C6" w:rsidRDefault="000A42C6" w:rsidP="000A42C6">
      <w:pPr>
        <w:spacing w:after="0" w:line="240" w:lineRule="auto"/>
        <w:ind w:firstLine="993"/>
        <w:jc w:val="both"/>
        <w:rPr>
          <w:rFonts w:ascii="Times New Roman" w:eastAsia="Times New Roman" w:hAnsi="Times New Roman" w:cs="Times New Roman"/>
          <w:sz w:val="24"/>
          <w:szCs w:val="24"/>
        </w:rPr>
      </w:pPr>
      <w:r w:rsidRPr="000A42C6">
        <w:rPr>
          <w:rFonts w:ascii="Times New Roman" w:eastAsia="Times New Roman" w:hAnsi="Times New Roman" w:cs="Times New Roman"/>
          <w:sz w:val="24"/>
          <w:szCs w:val="24"/>
        </w:rPr>
        <w:t>k) Yan hesap oluşturulmasına ilişkin esaslar, Takasbank tarafından yapılacak duyuru ile yürürlüğe girer.</w:t>
      </w:r>
    </w:p>
    <w:p w:rsidR="005F33EE" w:rsidRPr="00343A2A" w:rsidRDefault="005F33EE" w:rsidP="005F33EE">
      <w:pPr>
        <w:pStyle w:val="Heading2"/>
        <w:jc w:val="both"/>
      </w:pPr>
      <w:bookmarkStart w:id="314" w:name="_Toc130312638"/>
      <w:bookmarkStart w:id="315" w:name="_Toc130312772"/>
      <w:r w:rsidRPr="00343A2A">
        <w:t xml:space="preserve">12.5. </w:t>
      </w:r>
      <w:r>
        <w:t>(Ek: 21.03.2023 tarih ve 17/366</w:t>
      </w:r>
      <w:r w:rsidRPr="00343A2A">
        <w:t xml:space="preserve"> sayılı Kurul Kararı ile) Yatırım Fonları Tarafından Ortaklık Payları ile İlgili Yapılan İşlemlere İlişkin Esaslar </w:t>
      </w:r>
    </w:p>
    <w:p w:rsidR="005F33EE" w:rsidRDefault="005F33EE" w:rsidP="005F33EE">
      <w:pPr>
        <w:spacing w:after="0" w:line="240" w:lineRule="auto"/>
        <w:ind w:firstLine="993"/>
        <w:jc w:val="both"/>
      </w:pPr>
    </w:p>
    <w:p w:rsidR="005F33EE" w:rsidRDefault="005F33EE" w:rsidP="005F33EE">
      <w:pPr>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Unvanında özel ibaresi yer alan fonlar, serbest şemsiye fona bağlı ihraç edilen fonlar</w:t>
      </w:r>
      <w:r w:rsidRPr="00F120F9">
        <w:rPr>
          <w:rFonts w:ascii="Times New Roman" w:hAnsi="Times New Roman" w:cs="Times New Roman"/>
          <w:sz w:val="24"/>
          <w:szCs w:val="24"/>
        </w:rPr>
        <w:t xml:space="preserve">, gayrimenkul yatırım fonları ve girişim sermayesi yatırım fonları borsada özel emir yoluyla veya BİAŞ’ta Toptan Satışlar Pazarı’nda gerçekleştirilen işlemlerde alıcı taraf olamazlar. </w:t>
      </w:r>
    </w:p>
    <w:p w:rsidR="005F33EE" w:rsidRDefault="005F33EE" w:rsidP="005F33EE">
      <w:pPr>
        <w:spacing w:after="0" w:line="240" w:lineRule="auto"/>
        <w:ind w:firstLine="993"/>
        <w:jc w:val="both"/>
        <w:rPr>
          <w:rFonts w:ascii="Times New Roman" w:hAnsi="Times New Roman" w:cs="Times New Roman"/>
          <w:sz w:val="24"/>
          <w:szCs w:val="24"/>
        </w:rPr>
      </w:pPr>
    </w:p>
    <w:p w:rsidR="005F33EE" w:rsidRPr="00F120F9" w:rsidRDefault="005F33EE" w:rsidP="005F33EE">
      <w:pPr>
        <w:spacing w:after="0" w:line="240" w:lineRule="auto"/>
        <w:ind w:firstLine="993"/>
        <w:jc w:val="both"/>
        <w:rPr>
          <w:rFonts w:ascii="Times New Roman" w:eastAsia="Times New Roman" w:hAnsi="Times New Roman" w:cs="Times New Roman"/>
          <w:sz w:val="24"/>
          <w:szCs w:val="24"/>
        </w:rPr>
      </w:pPr>
      <w:r w:rsidRPr="00F120F9">
        <w:rPr>
          <w:rFonts w:ascii="Times New Roman" w:hAnsi="Times New Roman" w:cs="Times New Roman"/>
          <w:sz w:val="24"/>
          <w:szCs w:val="24"/>
        </w:rPr>
        <w:t xml:space="preserve">İşbu madde ile getirilen düzenleme tarihinden önce Kurulun VII-128.1 sayılı Pay Tebliği’nin 27. maddesinin birinci fıkrasında belirtilen kişilerden </w:t>
      </w:r>
      <w:r>
        <w:rPr>
          <w:rFonts w:ascii="Times New Roman" w:hAnsi="Times New Roman" w:cs="Times New Roman"/>
          <w:sz w:val="24"/>
          <w:szCs w:val="24"/>
        </w:rPr>
        <w:t xml:space="preserve">özel emir yoluyla veya </w:t>
      </w:r>
      <w:r w:rsidRPr="00F120F9">
        <w:rPr>
          <w:rFonts w:ascii="Times New Roman" w:hAnsi="Times New Roman" w:cs="Times New Roman"/>
          <w:sz w:val="24"/>
          <w:szCs w:val="24"/>
        </w:rPr>
        <w:t xml:space="preserve">Toptan Satışlar Pazarı’nda satın alınarak, bu kişilerin yatırımcısı olduğu serbest fonların portföyüne dahil edilen ortaklık paylarının, herhangi bir 12 aylık dönemde ortaklık sermayesinin %10’unu aşan oranda </w:t>
      </w:r>
      <w:r>
        <w:rPr>
          <w:rFonts w:ascii="Times New Roman" w:hAnsi="Times New Roman" w:cs="Times New Roman"/>
          <w:sz w:val="24"/>
          <w:szCs w:val="24"/>
        </w:rPr>
        <w:t xml:space="preserve">borsada </w:t>
      </w:r>
      <w:r w:rsidRPr="00F120F9">
        <w:rPr>
          <w:rFonts w:ascii="Times New Roman" w:hAnsi="Times New Roman" w:cs="Times New Roman"/>
          <w:sz w:val="24"/>
          <w:szCs w:val="24"/>
        </w:rPr>
        <w:t>satılacak olması halinde satış öncesinde yatırım fonu adına Kurucu tarafından pay satış bilgi formu düzenlenir ve fonun KAP sayfasında kamuya açıklanır. Pay satış bilgi formunun düzenlenmesi ve kamuya açıklanması konularında Kurulun VII-128.1 sayılı Pay Tebliği’nin 27. madde hükmü kıyasen uygulanır.</w:t>
      </w:r>
    </w:p>
    <w:p w:rsidR="005F33EE" w:rsidRDefault="005F33EE" w:rsidP="006A4B67">
      <w:pPr>
        <w:pStyle w:val="Heading1"/>
        <w:spacing w:after="240"/>
      </w:pPr>
    </w:p>
    <w:p w:rsidR="00F137D0" w:rsidRDefault="00F137D0" w:rsidP="006A4B67">
      <w:pPr>
        <w:pStyle w:val="Heading1"/>
        <w:spacing w:after="240"/>
      </w:pPr>
      <w:r w:rsidRPr="00F137D0">
        <w:t>Geçici Madde 1</w:t>
      </w:r>
      <w:r>
        <w:t xml:space="preserve"> </w:t>
      </w:r>
      <w:r w:rsidR="006A4B67" w:rsidRPr="009168AA">
        <w:t>(</w:t>
      </w:r>
      <w:r w:rsidR="006A4B67">
        <w:t>Ek</w:t>
      </w:r>
      <w:r w:rsidR="006A4B67" w:rsidRPr="009168AA">
        <w:t xml:space="preserve">: </w:t>
      </w:r>
      <w:r w:rsidR="006A4B67">
        <w:t>20.06.2018</w:t>
      </w:r>
      <w:r w:rsidR="006A4B67" w:rsidRPr="009168AA">
        <w:t xml:space="preserve"> tarih ve </w:t>
      </w:r>
      <w:r w:rsidR="006A4B67">
        <w:t>26/740</w:t>
      </w:r>
      <w:r w:rsidR="006A4B67" w:rsidRPr="009168AA">
        <w:t xml:space="preserve"> sayılı Kurul Kararı ile)</w:t>
      </w:r>
      <w:bookmarkEnd w:id="314"/>
      <w:bookmarkEnd w:id="315"/>
    </w:p>
    <w:p w:rsidR="00F137D0" w:rsidRDefault="00F137D0" w:rsidP="00F137D0">
      <w:pPr>
        <w:pStyle w:val="Default"/>
        <w:spacing w:after="160" w:line="259" w:lineRule="auto"/>
        <w:ind w:firstLine="709"/>
        <w:jc w:val="both"/>
      </w:pPr>
      <w:r>
        <w:t>Fon izahnamelerinde “pay fiyat endeksleri”nin esas alınacağı hususuna açık olarak yer vermiş olan fonlar tarafından Kurulumuza izahname değişikliği başvurusunda bulunulmaksızın izahnamelerde gerekli değişikliklerin yapılarak izahnamelerin güncel hallerinin KAP ile kurucunun resmi internet sitesinde 30.06.2018 tarihine kadar yayımlanması ve izahnamelerin güncel hallerinin yayımını takip eden 6 iş günü içerisinde konu hakkında Kurul’a bildirimde bulunulması zorunludur.</w:t>
      </w:r>
    </w:p>
    <w:p w:rsidR="00F137D0" w:rsidRDefault="00F137D0" w:rsidP="002963F4">
      <w:pPr>
        <w:pStyle w:val="Default"/>
        <w:ind w:left="708" w:hanging="708"/>
        <w:jc w:val="both"/>
      </w:pPr>
    </w:p>
    <w:p w:rsidR="00810AB9" w:rsidRPr="00810AB9" w:rsidRDefault="00897A02" w:rsidP="00810AB9">
      <w:pPr>
        <w:pStyle w:val="Heading1"/>
        <w:spacing w:after="240"/>
      </w:pPr>
      <w:bookmarkStart w:id="316" w:name="_Toc130312639"/>
      <w:bookmarkStart w:id="317" w:name="_Toc130312773"/>
      <w:r>
        <w:t>13. Yürürlük</w:t>
      </w:r>
      <w:bookmarkEnd w:id="316"/>
      <w:bookmarkEnd w:id="317"/>
    </w:p>
    <w:p w:rsidR="000922D9" w:rsidRPr="00317609" w:rsidRDefault="004F7BB8" w:rsidP="009D534F">
      <w:pPr>
        <w:pStyle w:val="NormalWeb"/>
        <w:shd w:val="clear" w:color="auto" w:fill="FFFFFF"/>
        <w:spacing w:before="0" w:beforeAutospacing="0" w:after="240" w:afterAutospacing="0"/>
        <w:ind w:left="720" w:right="-141"/>
        <w:jc w:val="both"/>
      </w:pPr>
      <w:r w:rsidRPr="00317609">
        <w:t xml:space="preserve">1. </w:t>
      </w:r>
      <w:r w:rsidR="001955FC" w:rsidRPr="00317609">
        <w:t xml:space="preserve">Bu </w:t>
      </w:r>
      <w:r w:rsidR="000922D9" w:rsidRPr="00317609">
        <w:t>Reh</w:t>
      </w:r>
      <w:r w:rsidR="00390F67" w:rsidRPr="00317609">
        <w:t>ber 01.07.2014 tarihi itibarıyla</w:t>
      </w:r>
      <w:r w:rsidR="000922D9" w:rsidRPr="00317609">
        <w:t xml:space="preserve"> yürürlüğe girer.</w:t>
      </w:r>
    </w:p>
    <w:p w:rsidR="004F7BB8" w:rsidRDefault="006D786E" w:rsidP="009D534F">
      <w:pPr>
        <w:pStyle w:val="NormalWeb"/>
        <w:shd w:val="clear" w:color="auto" w:fill="FFFFFF"/>
        <w:spacing w:before="0" w:beforeAutospacing="0" w:after="240" w:afterAutospacing="0"/>
        <w:ind w:left="720" w:right="-141"/>
        <w:jc w:val="both"/>
      </w:pPr>
      <w:r w:rsidRPr="00317609">
        <w:t>2</w:t>
      </w:r>
      <w:r w:rsidR="004F7BB8" w:rsidRPr="00317609">
        <w:t xml:space="preserve">. Bu Rehber’in </w:t>
      </w:r>
      <w:r w:rsidR="003E69BE" w:rsidRPr="00317609">
        <w:t>(</w:t>
      </w:r>
      <w:r w:rsidR="00790CE9">
        <w:t>12.</w:t>
      </w:r>
      <w:r w:rsidR="00E67598">
        <w:t>3</w:t>
      </w:r>
      <w:r w:rsidR="003E69BE" w:rsidRPr="00317609">
        <w:t xml:space="preserve">.) nolu bölümünün </w:t>
      </w:r>
      <w:r w:rsidR="004F7BB8" w:rsidRPr="00317609">
        <w:t>5</w:t>
      </w:r>
      <w:r w:rsidR="003E69BE" w:rsidRPr="00317609">
        <w:t>.</w:t>
      </w:r>
      <w:r w:rsidR="004F7BB8" w:rsidRPr="00317609">
        <w:t xml:space="preserve"> maddesi çerçevesinde içtüzük değişikliği yapılmaksızın fon portföyüne alınmasına izin verilen varlık ve işlemlere ilişkin olarak bu Rehber’de belirlenen esaslara uyulur.</w:t>
      </w:r>
    </w:p>
    <w:p w:rsidR="004032AF" w:rsidRDefault="004032AF" w:rsidP="009D534F">
      <w:pPr>
        <w:pStyle w:val="NormalWeb"/>
        <w:shd w:val="clear" w:color="auto" w:fill="FFFFFF"/>
        <w:spacing w:before="0" w:beforeAutospacing="0" w:after="240" w:afterAutospacing="0"/>
        <w:ind w:left="720" w:right="-141"/>
        <w:jc w:val="both"/>
      </w:pPr>
      <w:r>
        <w:t xml:space="preserve">3. </w:t>
      </w:r>
      <w:r w:rsidR="00C93CF8" w:rsidRPr="00C93CF8">
        <w:t>Bu Rehber’in 4.1.7. nolu maddesi 07.03.2016 tarihinden itibaren yapılacak ihraçlar için  uygulanır</w:t>
      </w:r>
      <w:r w:rsidR="00C93CF8">
        <w:t>.</w:t>
      </w:r>
    </w:p>
    <w:p w:rsidR="00176A11" w:rsidRDefault="00176A11" w:rsidP="009D534F">
      <w:pPr>
        <w:pStyle w:val="NormalWeb"/>
        <w:shd w:val="clear" w:color="auto" w:fill="FFFFFF"/>
        <w:spacing w:before="0" w:beforeAutospacing="0" w:after="240" w:afterAutospacing="0"/>
        <w:ind w:left="720" w:right="-141"/>
        <w:jc w:val="both"/>
        <w:rPr>
          <w:b/>
        </w:rPr>
      </w:pPr>
    </w:p>
    <w:p w:rsidR="00730E2E" w:rsidRDefault="00730E2E" w:rsidP="009D534F">
      <w:pPr>
        <w:pStyle w:val="NormalWeb"/>
        <w:shd w:val="clear" w:color="auto" w:fill="FFFFFF"/>
        <w:spacing w:before="0" w:beforeAutospacing="0" w:after="240" w:afterAutospacing="0"/>
        <w:ind w:left="720" w:right="-141"/>
        <w:jc w:val="both"/>
        <w:rPr>
          <w:b/>
        </w:rPr>
      </w:pPr>
    </w:p>
    <w:p w:rsidR="00C93CF8" w:rsidRDefault="00C93CF8" w:rsidP="009D534F">
      <w:pPr>
        <w:pStyle w:val="NormalWeb"/>
        <w:shd w:val="clear" w:color="auto" w:fill="FFFFFF"/>
        <w:spacing w:before="0" w:beforeAutospacing="0" w:after="240" w:afterAutospacing="0"/>
        <w:ind w:left="720" w:right="-141"/>
        <w:jc w:val="both"/>
        <w:rPr>
          <w:b/>
        </w:rPr>
      </w:pPr>
    </w:p>
    <w:p w:rsidR="00C93CF8" w:rsidRDefault="00C93CF8" w:rsidP="009D534F">
      <w:pPr>
        <w:pStyle w:val="NormalWeb"/>
        <w:shd w:val="clear" w:color="auto" w:fill="FFFFFF"/>
        <w:spacing w:before="0" w:beforeAutospacing="0" w:after="240" w:afterAutospacing="0"/>
        <w:ind w:left="720" w:right="-141"/>
        <w:jc w:val="both"/>
        <w:rPr>
          <w:b/>
        </w:rPr>
      </w:pPr>
    </w:p>
    <w:p w:rsidR="00C93CF8" w:rsidRDefault="00C93CF8" w:rsidP="009D534F">
      <w:pPr>
        <w:pStyle w:val="NormalWeb"/>
        <w:shd w:val="clear" w:color="auto" w:fill="FFFFFF"/>
        <w:spacing w:before="0" w:beforeAutospacing="0" w:after="240" w:afterAutospacing="0"/>
        <w:ind w:left="720" w:right="-141"/>
        <w:jc w:val="both"/>
        <w:rPr>
          <w:b/>
        </w:rPr>
      </w:pPr>
    </w:p>
    <w:p w:rsidR="00C93CF8" w:rsidRDefault="00C93CF8" w:rsidP="009D534F">
      <w:pPr>
        <w:pStyle w:val="NormalWeb"/>
        <w:shd w:val="clear" w:color="auto" w:fill="FFFFFF"/>
        <w:spacing w:before="0" w:beforeAutospacing="0" w:after="240" w:afterAutospacing="0"/>
        <w:ind w:left="720" w:right="-141"/>
        <w:jc w:val="both"/>
        <w:rPr>
          <w:b/>
        </w:rPr>
      </w:pPr>
    </w:p>
    <w:p w:rsidR="009F60FB" w:rsidRDefault="009F60FB" w:rsidP="009D534F">
      <w:pPr>
        <w:pStyle w:val="NormalWeb"/>
        <w:shd w:val="clear" w:color="auto" w:fill="FFFFFF"/>
        <w:spacing w:before="0" w:beforeAutospacing="0" w:after="240" w:afterAutospacing="0"/>
        <w:ind w:left="720" w:right="-141"/>
        <w:jc w:val="both"/>
        <w:rPr>
          <w:b/>
        </w:rPr>
      </w:pPr>
    </w:p>
    <w:p w:rsidR="00E47EB9" w:rsidRDefault="00E47EB9" w:rsidP="00E47EB9">
      <w:pPr>
        <w:pStyle w:val="NormalWeb"/>
        <w:shd w:val="clear" w:color="auto" w:fill="FFFFFF"/>
        <w:spacing w:before="0" w:beforeAutospacing="0" w:after="240" w:afterAutospacing="0"/>
        <w:ind w:left="720"/>
        <w:jc w:val="right"/>
        <w:rPr>
          <w:b/>
        </w:rPr>
      </w:pPr>
      <w:r>
        <w:rPr>
          <w:b/>
        </w:rPr>
        <w:t>EK/1</w:t>
      </w:r>
    </w:p>
    <w:tbl>
      <w:tblPr>
        <w:tblStyle w:val="TableGrid"/>
        <w:tblW w:w="0" w:type="auto"/>
        <w:tblInd w:w="594" w:type="dxa"/>
        <w:tblLook w:val="04A0" w:firstRow="1" w:lastRow="0" w:firstColumn="1" w:lastColumn="0" w:noHBand="0" w:noVBand="1"/>
      </w:tblPr>
      <w:tblGrid>
        <w:gridCol w:w="6219"/>
        <w:gridCol w:w="1736"/>
      </w:tblGrid>
      <w:tr w:rsidR="00E47EB9" w:rsidTr="00071DD1">
        <w:tc>
          <w:tcPr>
            <w:tcW w:w="6219" w:type="dxa"/>
          </w:tcPr>
          <w:p w:rsidR="00E47EB9" w:rsidRPr="00391B20" w:rsidRDefault="00E47EB9" w:rsidP="00071DD1">
            <w:pPr>
              <w:spacing w:line="256" w:lineRule="auto"/>
              <w:rPr>
                <w:rFonts w:ascii="Times New Roman" w:eastAsia="Times New Roman" w:hAnsi="Times New Roman" w:cs="Times New Roman"/>
                <w:b/>
                <w:color w:val="000000"/>
                <w:sz w:val="24"/>
                <w:szCs w:val="24"/>
                <w:lang w:eastAsia="tr-TR"/>
              </w:rPr>
            </w:pPr>
            <w:r w:rsidRPr="00391B20">
              <w:rPr>
                <w:rFonts w:ascii="Times New Roman" w:eastAsia="Times New Roman" w:hAnsi="Times New Roman" w:cs="Times New Roman"/>
                <w:b/>
                <w:color w:val="000000"/>
                <w:sz w:val="24"/>
                <w:szCs w:val="24"/>
                <w:lang w:eastAsia="tr-TR"/>
              </w:rPr>
              <w:t>Varlık</w:t>
            </w:r>
            <w:r>
              <w:rPr>
                <w:rFonts w:ascii="Times New Roman" w:eastAsia="Times New Roman" w:hAnsi="Times New Roman" w:cs="Times New Roman"/>
                <w:b/>
                <w:color w:val="000000"/>
                <w:sz w:val="24"/>
                <w:szCs w:val="24"/>
                <w:lang w:eastAsia="tr-TR"/>
              </w:rPr>
              <w:t xml:space="preserve"> ve İşlemler*</w:t>
            </w:r>
          </w:p>
        </w:tc>
        <w:tc>
          <w:tcPr>
            <w:tcW w:w="1736" w:type="dxa"/>
          </w:tcPr>
          <w:p w:rsidR="00E47EB9" w:rsidRDefault="00E47EB9" w:rsidP="00071DD1">
            <w:pPr>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Azami</w:t>
            </w:r>
            <w:r>
              <w:rPr>
                <w:rStyle w:val="FootnoteReference"/>
                <w:rFonts w:eastAsia="Times New Roman" w:cs="Times New Roman"/>
                <w:b/>
                <w:color w:val="000000"/>
                <w:szCs w:val="24"/>
                <w:lang w:eastAsia="tr-TR"/>
              </w:rPr>
              <w:footnoteReference w:id="30"/>
            </w:r>
          </w:p>
          <w:p w:rsidR="00E47EB9" w:rsidRPr="00391B20" w:rsidRDefault="00E47EB9" w:rsidP="00071DD1">
            <w:pPr>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w:t>
            </w:r>
          </w:p>
        </w:tc>
      </w:tr>
      <w:tr w:rsidR="00E47EB9" w:rsidTr="00071DD1">
        <w:tc>
          <w:tcPr>
            <w:tcW w:w="6219" w:type="dxa"/>
          </w:tcPr>
          <w:p w:rsidR="00E47EB9" w:rsidRPr="00142543" w:rsidRDefault="00E47EB9" w:rsidP="00071DD1">
            <w:pPr>
              <w:spacing w:line="256" w:lineRule="auto"/>
              <w:rPr>
                <w:rFonts w:ascii="Times New Roman" w:eastAsia="Times New Roman" w:hAnsi="Times New Roman" w:cs="Times New Roman"/>
                <w:color w:val="000000"/>
                <w:sz w:val="24"/>
                <w:szCs w:val="24"/>
                <w:lang w:eastAsia="tr-TR"/>
              </w:rPr>
            </w:pPr>
            <w:r w:rsidRPr="00142543">
              <w:rPr>
                <w:rFonts w:ascii="Times New Roman" w:eastAsia="Times New Roman" w:hAnsi="Times New Roman" w:cs="Times New Roman"/>
                <w:color w:val="000000"/>
                <w:sz w:val="24"/>
                <w:szCs w:val="24"/>
                <w:lang w:eastAsia="tr-TR"/>
              </w:rPr>
              <w:t>Ortaklık Payları</w:t>
            </w:r>
          </w:p>
        </w:tc>
        <w:tc>
          <w:tcPr>
            <w:tcW w:w="1736" w:type="dxa"/>
          </w:tcPr>
          <w:p w:rsidR="00E47EB9" w:rsidRPr="00142543" w:rsidRDefault="00E47EB9" w:rsidP="00071DD1">
            <w:pPr>
              <w:jc w:val="center"/>
              <w:rPr>
                <w:rFonts w:ascii="Times New Roman" w:eastAsia="Times New Roman" w:hAnsi="Times New Roman" w:cs="Times New Roman"/>
                <w:color w:val="000000"/>
                <w:sz w:val="24"/>
                <w:szCs w:val="24"/>
                <w:lang w:eastAsia="tr-TR"/>
              </w:rPr>
            </w:pPr>
            <w:r w:rsidRPr="00142543">
              <w:rPr>
                <w:rFonts w:ascii="Times New Roman" w:eastAsia="Times New Roman" w:hAnsi="Times New Roman" w:cs="Times New Roman"/>
                <w:color w:val="000000"/>
                <w:sz w:val="24"/>
                <w:szCs w:val="24"/>
                <w:lang w:eastAsia="tr-TR"/>
              </w:rPr>
              <w:t>100</w:t>
            </w:r>
          </w:p>
        </w:tc>
      </w:tr>
      <w:tr w:rsidR="00E47EB9" w:rsidTr="00071DD1">
        <w:tc>
          <w:tcPr>
            <w:tcW w:w="6219" w:type="dxa"/>
          </w:tcPr>
          <w:p w:rsidR="00E47EB9" w:rsidRPr="00142543" w:rsidRDefault="00E47EB9" w:rsidP="00071DD1">
            <w:pPr>
              <w:spacing w:line="256" w:lineRule="auto"/>
              <w:rPr>
                <w:rFonts w:ascii="Times New Roman" w:eastAsia="Times New Roman" w:hAnsi="Times New Roman" w:cs="Times New Roman"/>
                <w:color w:val="000000"/>
                <w:sz w:val="24"/>
                <w:szCs w:val="24"/>
                <w:lang w:eastAsia="tr-TR"/>
              </w:rPr>
            </w:pPr>
            <w:r w:rsidRPr="00505FB4">
              <w:rPr>
                <w:rFonts w:ascii="Times New Roman" w:eastAsia="Times New Roman" w:hAnsi="Times New Roman" w:cs="Times New Roman"/>
                <w:color w:val="000000"/>
                <w:sz w:val="24"/>
                <w:szCs w:val="24"/>
                <w:lang w:eastAsia="tr-TR"/>
              </w:rPr>
              <w:t>Kamu ve özel sektör borçlanma araçları</w:t>
            </w:r>
          </w:p>
        </w:tc>
        <w:tc>
          <w:tcPr>
            <w:tcW w:w="1736" w:type="dxa"/>
          </w:tcPr>
          <w:p w:rsidR="00E47EB9" w:rsidRPr="00142543" w:rsidRDefault="00E47EB9" w:rsidP="00071DD1">
            <w:pPr>
              <w:jc w:val="center"/>
              <w:rPr>
                <w:rFonts w:ascii="Times New Roman" w:eastAsia="Times New Roman" w:hAnsi="Times New Roman" w:cs="Times New Roman"/>
                <w:color w:val="000000"/>
                <w:sz w:val="24"/>
                <w:szCs w:val="24"/>
                <w:lang w:eastAsia="tr-TR"/>
              </w:rPr>
            </w:pPr>
            <w:r w:rsidRPr="00505FB4">
              <w:rPr>
                <w:rFonts w:ascii="Times New Roman" w:eastAsia="Times New Roman" w:hAnsi="Times New Roman" w:cs="Times New Roman"/>
                <w:color w:val="000000"/>
                <w:sz w:val="24"/>
                <w:szCs w:val="24"/>
                <w:lang w:eastAsia="tr-TR"/>
              </w:rPr>
              <w:t>100</w:t>
            </w:r>
          </w:p>
        </w:tc>
      </w:tr>
      <w:tr w:rsidR="00403452" w:rsidTr="00071DD1">
        <w:tc>
          <w:tcPr>
            <w:tcW w:w="6219" w:type="dxa"/>
          </w:tcPr>
          <w:p w:rsidR="00403452" w:rsidRPr="00505FB4" w:rsidRDefault="00403452" w:rsidP="00403452">
            <w:pPr>
              <w:spacing w:line="256"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sz w:val="24"/>
                <w:szCs w:val="24"/>
                <w:lang w:eastAsia="tr-TR"/>
              </w:rPr>
              <w:t xml:space="preserve">(Ek: 13.02.2020 tarih ve 10/231 sayılı Kurul Kararı ile) </w:t>
            </w:r>
            <w:r>
              <w:rPr>
                <w:rFonts w:ascii="Times New Roman" w:eastAsia="Times New Roman" w:hAnsi="Times New Roman" w:cs="Times New Roman"/>
                <w:color w:val="000000"/>
                <w:sz w:val="24"/>
                <w:szCs w:val="24"/>
                <w:lang w:eastAsia="tr-TR"/>
              </w:rPr>
              <w:t>Borsa yatırım fonu katılma payları</w:t>
            </w:r>
          </w:p>
        </w:tc>
        <w:tc>
          <w:tcPr>
            <w:tcW w:w="1736" w:type="dxa"/>
          </w:tcPr>
          <w:p w:rsidR="00403452" w:rsidRPr="00505FB4" w:rsidRDefault="00403452" w:rsidP="00403452">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100</w:t>
            </w:r>
          </w:p>
        </w:tc>
      </w:tr>
      <w:tr w:rsidR="00403452" w:rsidTr="00071DD1">
        <w:tc>
          <w:tcPr>
            <w:tcW w:w="6219" w:type="dxa"/>
          </w:tcPr>
          <w:p w:rsidR="00403452" w:rsidRPr="00505FB4" w:rsidRDefault="00403452" w:rsidP="00403452">
            <w:pPr>
              <w:spacing w:line="256"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sz w:val="24"/>
                <w:szCs w:val="24"/>
                <w:lang w:eastAsia="tr-TR"/>
              </w:rPr>
              <w:t xml:space="preserve">(Değişiklik: 13.02.2020 tarih ve 10/231 sayılı Kurul Kararı ile) </w:t>
            </w:r>
            <w:r>
              <w:rPr>
                <w:rFonts w:ascii="Times New Roman" w:eastAsia="Times New Roman" w:hAnsi="Times New Roman" w:cs="Times New Roman"/>
                <w:color w:val="000000"/>
                <w:sz w:val="24"/>
                <w:szCs w:val="24"/>
                <w:lang w:eastAsia="tr-TR"/>
              </w:rPr>
              <w:t>Fon katılma payları,  menkul kıymet yatırım ortaklığı payları, yabancı yatırım fonu katılma payları, yabancı borsa yatırım fonu katılma payları</w:t>
            </w:r>
          </w:p>
        </w:tc>
        <w:tc>
          <w:tcPr>
            <w:tcW w:w="1736" w:type="dxa"/>
          </w:tcPr>
          <w:p w:rsidR="00403452" w:rsidRPr="00505FB4" w:rsidRDefault="00403452" w:rsidP="00403452">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20</w:t>
            </w:r>
          </w:p>
        </w:tc>
      </w:tr>
      <w:tr w:rsidR="00E47EB9" w:rsidTr="00071DD1">
        <w:tc>
          <w:tcPr>
            <w:tcW w:w="6219" w:type="dxa"/>
          </w:tcPr>
          <w:p w:rsidR="00E47EB9" w:rsidRPr="00505FB4" w:rsidRDefault="00E47EB9" w:rsidP="00071DD1">
            <w:pPr>
              <w:rPr>
                <w:rFonts w:ascii="Times New Roman" w:eastAsia="Times New Roman" w:hAnsi="Times New Roman" w:cs="Times New Roman"/>
                <w:color w:val="000000"/>
                <w:sz w:val="24"/>
                <w:szCs w:val="24"/>
                <w:lang w:eastAsia="tr-TR"/>
              </w:rPr>
            </w:pPr>
            <w:r w:rsidRPr="00505FB4">
              <w:rPr>
                <w:rFonts w:ascii="Times New Roman" w:eastAsia="Times New Roman" w:hAnsi="Times New Roman" w:cs="Times New Roman"/>
                <w:color w:val="000000"/>
                <w:sz w:val="24"/>
                <w:szCs w:val="24"/>
                <w:lang w:eastAsia="tr-TR"/>
              </w:rPr>
              <w:t>Ters repo</w:t>
            </w:r>
            <w:r>
              <w:rPr>
                <w:rStyle w:val="FootnoteReference"/>
                <w:rFonts w:eastAsia="Times New Roman" w:cs="Times New Roman"/>
                <w:color w:val="000000"/>
                <w:szCs w:val="24"/>
                <w:lang w:eastAsia="tr-TR"/>
              </w:rPr>
              <w:footnoteReference w:id="31"/>
            </w:r>
          </w:p>
        </w:tc>
        <w:tc>
          <w:tcPr>
            <w:tcW w:w="1736" w:type="dxa"/>
          </w:tcPr>
          <w:p w:rsidR="00E47EB9" w:rsidRPr="00505FB4" w:rsidRDefault="00E47EB9" w:rsidP="00071DD1">
            <w:pPr>
              <w:jc w:val="center"/>
              <w:rPr>
                <w:rFonts w:ascii="Times New Roman" w:eastAsia="Times New Roman" w:hAnsi="Times New Roman" w:cs="Times New Roman"/>
                <w:color w:val="000000"/>
                <w:sz w:val="24"/>
                <w:szCs w:val="24"/>
                <w:lang w:eastAsia="tr-TR"/>
              </w:rPr>
            </w:pPr>
            <w:r w:rsidRPr="00505FB4">
              <w:rPr>
                <w:rFonts w:ascii="Times New Roman" w:eastAsia="Times New Roman" w:hAnsi="Times New Roman" w:cs="Times New Roman"/>
                <w:color w:val="000000"/>
                <w:sz w:val="24"/>
                <w:szCs w:val="24"/>
                <w:lang w:eastAsia="tr-TR"/>
              </w:rPr>
              <w:t>100</w:t>
            </w:r>
          </w:p>
        </w:tc>
      </w:tr>
      <w:tr w:rsidR="00E47EB9" w:rsidTr="00071DD1">
        <w:tc>
          <w:tcPr>
            <w:tcW w:w="6219" w:type="dxa"/>
          </w:tcPr>
          <w:p w:rsidR="00E47EB9" w:rsidRPr="00505FB4" w:rsidRDefault="00E47EB9" w:rsidP="008A4844">
            <w:pPr>
              <w:rPr>
                <w:rFonts w:ascii="Times New Roman" w:eastAsia="Times New Roman" w:hAnsi="Times New Roman" w:cs="Times New Roman"/>
                <w:color w:val="000000"/>
                <w:sz w:val="24"/>
                <w:szCs w:val="24"/>
                <w:lang w:eastAsia="tr-TR"/>
              </w:rPr>
            </w:pPr>
            <w:r w:rsidRPr="00C272A7">
              <w:rPr>
                <w:rFonts w:ascii="Times New Roman" w:eastAsia="Times New Roman" w:hAnsi="Times New Roman" w:cs="Times New Roman"/>
                <w:color w:val="000000"/>
                <w:sz w:val="24"/>
                <w:szCs w:val="24"/>
                <w:lang w:eastAsia="tr-TR"/>
              </w:rPr>
              <w:t>Takasbank para piyasası ve yurtiçi organize para piyasaları işlemleri</w:t>
            </w:r>
          </w:p>
        </w:tc>
        <w:tc>
          <w:tcPr>
            <w:tcW w:w="1736" w:type="dxa"/>
          </w:tcPr>
          <w:p w:rsidR="00E47EB9" w:rsidRPr="00505FB4" w:rsidRDefault="00E47EB9" w:rsidP="00071DD1">
            <w:pPr>
              <w:jc w:val="center"/>
              <w:rPr>
                <w:rFonts w:ascii="Times New Roman" w:eastAsia="Times New Roman" w:hAnsi="Times New Roman" w:cs="Times New Roman"/>
                <w:color w:val="000000"/>
                <w:sz w:val="24"/>
                <w:szCs w:val="24"/>
                <w:lang w:eastAsia="tr-TR"/>
              </w:rPr>
            </w:pPr>
            <w:r w:rsidRPr="00505FB4">
              <w:rPr>
                <w:rFonts w:ascii="Times New Roman" w:eastAsia="Times New Roman" w:hAnsi="Times New Roman" w:cs="Times New Roman"/>
                <w:color w:val="000000"/>
                <w:sz w:val="24"/>
                <w:szCs w:val="24"/>
                <w:lang w:eastAsia="tr-TR"/>
              </w:rPr>
              <w:t>20</w:t>
            </w:r>
          </w:p>
        </w:tc>
      </w:tr>
      <w:tr w:rsidR="00E47EB9" w:rsidTr="00071DD1">
        <w:tc>
          <w:tcPr>
            <w:tcW w:w="6219" w:type="dxa"/>
          </w:tcPr>
          <w:p w:rsidR="00E47EB9" w:rsidRPr="00505FB4" w:rsidRDefault="00E47EB9" w:rsidP="00071DD1">
            <w:pPr>
              <w:rPr>
                <w:rFonts w:ascii="Times New Roman" w:eastAsia="Times New Roman" w:hAnsi="Times New Roman" w:cs="Times New Roman"/>
                <w:color w:val="000000"/>
                <w:sz w:val="24"/>
                <w:szCs w:val="24"/>
                <w:lang w:eastAsia="tr-TR"/>
              </w:rPr>
            </w:pPr>
            <w:r w:rsidRPr="00505FB4">
              <w:rPr>
                <w:rFonts w:ascii="Times New Roman" w:eastAsia="Times New Roman" w:hAnsi="Times New Roman" w:cs="Times New Roman"/>
                <w:color w:val="000000"/>
                <w:sz w:val="24"/>
                <w:szCs w:val="24"/>
                <w:lang w:eastAsia="tr-TR"/>
              </w:rPr>
              <w:t>İpotek ve varlık teminatlı menkul kıymetler</w:t>
            </w:r>
          </w:p>
        </w:tc>
        <w:tc>
          <w:tcPr>
            <w:tcW w:w="1736" w:type="dxa"/>
          </w:tcPr>
          <w:p w:rsidR="00E47EB9" w:rsidRPr="00505FB4" w:rsidRDefault="00E47EB9" w:rsidP="00071DD1">
            <w:pPr>
              <w:jc w:val="center"/>
              <w:rPr>
                <w:rFonts w:ascii="Times New Roman" w:eastAsia="Times New Roman" w:hAnsi="Times New Roman" w:cs="Times New Roman"/>
                <w:color w:val="000000"/>
                <w:sz w:val="24"/>
                <w:szCs w:val="24"/>
                <w:lang w:eastAsia="tr-TR"/>
              </w:rPr>
            </w:pPr>
            <w:r w:rsidRPr="00505FB4">
              <w:rPr>
                <w:rFonts w:ascii="Times New Roman" w:eastAsia="Times New Roman" w:hAnsi="Times New Roman" w:cs="Times New Roman"/>
                <w:color w:val="000000"/>
                <w:sz w:val="24"/>
                <w:szCs w:val="24"/>
                <w:lang w:eastAsia="tr-TR"/>
              </w:rPr>
              <w:t>100</w:t>
            </w:r>
          </w:p>
        </w:tc>
      </w:tr>
      <w:tr w:rsidR="00E47EB9" w:rsidTr="00071DD1">
        <w:tc>
          <w:tcPr>
            <w:tcW w:w="6219" w:type="dxa"/>
          </w:tcPr>
          <w:p w:rsidR="00E47EB9" w:rsidRPr="00505FB4" w:rsidRDefault="00E47EB9" w:rsidP="00071DD1">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İpoteğe ve varlığa dayalı menkul kıymetler</w:t>
            </w:r>
          </w:p>
        </w:tc>
        <w:tc>
          <w:tcPr>
            <w:tcW w:w="1736" w:type="dxa"/>
          </w:tcPr>
          <w:p w:rsidR="00E47EB9" w:rsidRPr="00505FB4" w:rsidRDefault="00E47EB9" w:rsidP="00071DD1">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100</w:t>
            </w:r>
          </w:p>
        </w:tc>
      </w:tr>
      <w:tr w:rsidR="00E47EB9" w:rsidTr="00071DD1">
        <w:tc>
          <w:tcPr>
            <w:tcW w:w="6219" w:type="dxa"/>
          </w:tcPr>
          <w:p w:rsidR="00E47EB9" w:rsidRPr="00505FB4" w:rsidRDefault="00E47EB9" w:rsidP="00071DD1">
            <w:pPr>
              <w:rPr>
                <w:rFonts w:ascii="Times New Roman" w:eastAsia="Times New Roman" w:hAnsi="Times New Roman" w:cs="Times New Roman"/>
                <w:color w:val="000000"/>
                <w:sz w:val="24"/>
                <w:szCs w:val="24"/>
                <w:lang w:eastAsia="tr-TR"/>
              </w:rPr>
            </w:pPr>
            <w:r w:rsidRPr="00505FB4">
              <w:rPr>
                <w:rFonts w:ascii="Times New Roman" w:eastAsia="Times New Roman" w:hAnsi="Times New Roman" w:cs="Times New Roman"/>
                <w:color w:val="000000"/>
                <w:sz w:val="24"/>
                <w:szCs w:val="24"/>
                <w:lang w:eastAsia="tr-TR"/>
              </w:rPr>
              <w:t>İkraz iştirak senedi (loan</w:t>
            </w:r>
            <w:r>
              <w:rPr>
                <w:rFonts w:ascii="Times New Roman" w:eastAsia="Times New Roman" w:hAnsi="Times New Roman" w:cs="Times New Roman"/>
                <w:color w:val="000000"/>
                <w:sz w:val="24"/>
                <w:szCs w:val="24"/>
                <w:lang w:eastAsia="tr-TR"/>
              </w:rPr>
              <w:t xml:space="preserve"> </w:t>
            </w:r>
            <w:r w:rsidRPr="00505FB4">
              <w:rPr>
                <w:rFonts w:ascii="Times New Roman" w:eastAsia="Times New Roman" w:hAnsi="Times New Roman" w:cs="Times New Roman"/>
                <w:color w:val="000000"/>
                <w:sz w:val="24"/>
                <w:szCs w:val="24"/>
                <w:lang w:eastAsia="tr-TR"/>
              </w:rPr>
              <w:t>participation</w:t>
            </w:r>
            <w:r>
              <w:rPr>
                <w:rFonts w:ascii="Times New Roman" w:eastAsia="Times New Roman" w:hAnsi="Times New Roman" w:cs="Times New Roman"/>
                <w:color w:val="000000"/>
                <w:sz w:val="24"/>
                <w:szCs w:val="24"/>
                <w:lang w:eastAsia="tr-TR"/>
              </w:rPr>
              <w:t xml:space="preserve"> </w:t>
            </w:r>
            <w:r w:rsidRPr="00505FB4">
              <w:rPr>
                <w:rFonts w:ascii="Times New Roman" w:eastAsia="Times New Roman" w:hAnsi="Times New Roman" w:cs="Times New Roman"/>
                <w:color w:val="000000"/>
                <w:sz w:val="24"/>
                <w:szCs w:val="24"/>
                <w:lang w:eastAsia="tr-TR"/>
              </w:rPr>
              <w:t>note)</w:t>
            </w:r>
          </w:p>
        </w:tc>
        <w:tc>
          <w:tcPr>
            <w:tcW w:w="1736" w:type="dxa"/>
          </w:tcPr>
          <w:p w:rsidR="00E47EB9" w:rsidRPr="00505FB4" w:rsidRDefault="00E47EB9" w:rsidP="00071DD1">
            <w:pPr>
              <w:jc w:val="center"/>
              <w:rPr>
                <w:rFonts w:ascii="Times New Roman" w:eastAsia="Times New Roman" w:hAnsi="Times New Roman" w:cs="Times New Roman"/>
                <w:color w:val="000000"/>
                <w:sz w:val="24"/>
                <w:szCs w:val="24"/>
                <w:lang w:eastAsia="tr-TR"/>
              </w:rPr>
            </w:pPr>
            <w:r w:rsidRPr="00505FB4">
              <w:rPr>
                <w:rFonts w:ascii="Times New Roman" w:eastAsia="Times New Roman" w:hAnsi="Times New Roman" w:cs="Times New Roman"/>
                <w:color w:val="000000"/>
                <w:sz w:val="24"/>
                <w:szCs w:val="24"/>
                <w:lang w:eastAsia="tr-TR"/>
              </w:rPr>
              <w:t>10</w:t>
            </w:r>
          </w:p>
        </w:tc>
      </w:tr>
      <w:tr w:rsidR="00E47EB9" w:rsidTr="00071DD1">
        <w:tc>
          <w:tcPr>
            <w:tcW w:w="6219" w:type="dxa"/>
          </w:tcPr>
          <w:p w:rsidR="00E47EB9" w:rsidRPr="00505FB4" w:rsidRDefault="00E47EB9" w:rsidP="00071DD1">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Yapılandırılmış yatırım araçları</w:t>
            </w:r>
          </w:p>
        </w:tc>
        <w:tc>
          <w:tcPr>
            <w:tcW w:w="1736" w:type="dxa"/>
          </w:tcPr>
          <w:p w:rsidR="00E47EB9" w:rsidRPr="00505FB4" w:rsidRDefault="00E47EB9" w:rsidP="00071DD1">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10</w:t>
            </w:r>
          </w:p>
        </w:tc>
      </w:tr>
      <w:tr w:rsidR="00E47EB9" w:rsidTr="00071DD1">
        <w:tc>
          <w:tcPr>
            <w:tcW w:w="6219" w:type="dxa"/>
          </w:tcPr>
          <w:p w:rsidR="00E47EB9" w:rsidRPr="00505FB4" w:rsidRDefault="00E47EB9" w:rsidP="00071DD1">
            <w:pPr>
              <w:rPr>
                <w:rFonts w:ascii="Times New Roman" w:eastAsia="Times New Roman" w:hAnsi="Times New Roman" w:cs="Times New Roman"/>
                <w:color w:val="000000"/>
                <w:sz w:val="24"/>
                <w:szCs w:val="24"/>
                <w:lang w:eastAsia="tr-TR"/>
              </w:rPr>
            </w:pPr>
            <w:r w:rsidRPr="00505FB4">
              <w:rPr>
                <w:rFonts w:ascii="Times New Roman" w:eastAsia="Times New Roman" w:hAnsi="Times New Roman" w:cs="Times New Roman"/>
                <w:color w:val="000000"/>
                <w:sz w:val="24"/>
                <w:szCs w:val="24"/>
                <w:lang w:eastAsia="tr-TR"/>
              </w:rPr>
              <w:t>Aracı kuruluş ve ortaklık varantı</w:t>
            </w:r>
            <w:r>
              <w:rPr>
                <w:rFonts w:ascii="Times New Roman" w:eastAsia="Times New Roman" w:hAnsi="Times New Roman" w:cs="Times New Roman"/>
                <w:color w:val="000000"/>
                <w:sz w:val="24"/>
                <w:szCs w:val="24"/>
                <w:lang w:eastAsia="tr-TR"/>
              </w:rPr>
              <w:t>,</w:t>
            </w:r>
            <w:r w:rsidRPr="00505FB4">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s</w:t>
            </w:r>
            <w:r w:rsidRPr="00505FB4">
              <w:rPr>
                <w:rFonts w:ascii="Times New Roman" w:eastAsia="Times New Roman" w:hAnsi="Times New Roman" w:cs="Times New Roman"/>
                <w:color w:val="000000"/>
                <w:sz w:val="24"/>
                <w:szCs w:val="24"/>
                <w:lang w:eastAsia="tr-TR"/>
              </w:rPr>
              <w:t>ertifikalar</w:t>
            </w:r>
          </w:p>
        </w:tc>
        <w:tc>
          <w:tcPr>
            <w:tcW w:w="1736" w:type="dxa"/>
          </w:tcPr>
          <w:p w:rsidR="00E47EB9" w:rsidRPr="00505FB4" w:rsidRDefault="00E47EB9" w:rsidP="00071DD1">
            <w:pPr>
              <w:jc w:val="center"/>
              <w:rPr>
                <w:rFonts w:ascii="Times New Roman" w:eastAsia="Times New Roman" w:hAnsi="Times New Roman" w:cs="Times New Roman"/>
                <w:color w:val="000000"/>
                <w:sz w:val="24"/>
                <w:szCs w:val="24"/>
                <w:lang w:eastAsia="tr-TR"/>
              </w:rPr>
            </w:pPr>
            <w:r w:rsidRPr="00505FB4">
              <w:rPr>
                <w:rFonts w:ascii="Times New Roman" w:eastAsia="Times New Roman" w:hAnsi="Times New Roman" w:cs="Times New Roman"/>
                <w:color w:val="000000"/>
                <w:sz w:val="24"/>
                <w:szCs w:val="24"/>
                <w:lang w:eastAsia="tr-TR"/>
              </w:rPr>
              <w:t>10</w:t>
            </w:r>
          </w:p>
        </w:tc>
      </w:tr>
      <w:tr w:rsidR="00E47EB9" w:rsidTr="00071DD1">
        <w:tc>
          <w:tcPr>
            <w:tcW w:w="6219" w:type="dxa"/>
          </w:tcPr>
          <w:p w:rsidR="00E47EB9" w:rsidRPr="00505FB4" w:rsidRDefault="00E47EB9" w:rsidP="00071DD1">
            <w:pPr>
              <w:rPr>
                <w:rFonts w:ascii="Times New Roman" w:eastAsia="Times New Roman" w:hAnsi="Times New Roman" w:cs="Times New Roman"/>
                <w:color w:val="000000"/>
                <w:sz w:val="24"/>
                <w:szCs w:val="24"/>
                <w:lang w:eastAsia="tr-TR"/>
              </w:rPr>
            </w:pPr>
            <w:r w:rsidRPr="00505FB4">
              <w:rPr>
                <w:rFonts w:ascii="Times New Roman" w:eastAsia="Times New Roman" w:hAnsi="Times New Roman" w:cs="Times New Roman"/>
                <w:color w:val="000000"/>
                <w:sz w:val="24"/>
                <w:szCs w:val="24"/>
                <w:lang w:eastAsia="tr-TR"/>
              </w:rPr>
              <w:t>Kira sertifikaları</w:t>
            </w:r>
          </w:p>
        </w:tc>
        <w:tc>
          <w:tcPr>
            <w:tcW w:w="1736" w:type="dxa"/>
          </w:tcPr>
          <w:p w:rsidR="00E47EB9" w:rsidRPr="00505FB4" w:rsidRDefault="00E47EB9" w:rsidP="00071DD1">
            <w:pPr>
              <w:jc w:val="center"/>
              <w:rPr>
                <w:rFonts w:ascii="Times New Roman" w:eastAsia="Times New Roman" w:hAnsi="Times New Roman" w:cs="Times New Roman"/>
                <w:color w:val="000000"/>
                <w:sz w:val="24"/>
                <w:szCs w:val="24"/>
                <w:lang w:eastAsia="tr-TR"/>
              </w:rPr>
            </w:pPr>
            <w:r w:rsidRPr="00505FB4">
              <w:rPr>
                <w:rFonts w:ascii="Times New Roman" w:eastAsia="Times New Roman" w:hAnsi="Times New Roman" w:cs="Times New Roman"/>
                <w:color w:val="000000"/>
                <w:sz w:val="24"/>
                <w:szCs w:val="24"/>
                <w:lang w:eastAsia="tr-TR"/>
              </w:rPr>
              <w:t>100</w:t>
            </w:r>
          </w:p>
        </w:tc>
      </w:tr>
      <w:tr w:rsidR="00E47EB9" w:rsidTr="00071DD1">
        <w:tc>
          <w:tcPr>
            <w:tcW w:w="6219" w:type="dxa"/>
          </w:tcPr>
          <w:p w:rsidR="00E47EB9" w:rsidRPr="00505FB4" w:rsidRDefault="00E47EB9" w:rsidP="00071DD1">
            <w:pPr>
              <w:rPr>
                <w:rFonts w:ascii="Times New Roman" w:eastAsia="Times New Roman" w:hAnsi="Times New Roman" w:cs="Times New Roman"/>
                <w:color w:val="000000"/>
                <w:sz w:val="24"/>
                <w:szCs w:val="24"/>
                <w:lang w:eastAsia="tr-TR"/>
              </w:rPr>
            </w:pPr>
            <w:r w:rsidRPr="00505FB4">
              <w:rPr>
                <w:rFonts w:ascii="Times New Roman" w:eastAsia="Times New Roman" w:hAnsi="Times New Roman" w:cs="Times New Roman"/>
                <w:color w:val="000000"/>
                <w:sz w:val="24"/>
                <w:szCs w:val="24"/>
                <w:lang w:eastAsia="tr-TR"/>
              </w:rPr>
              <w:t>TCMB</w:t>
            </w:r>
            <w:r>
              <w:rPr>
                <w:rFonts w:ascii="Times New Roman" w:eastAsia="Times New Roman" w:hAnsi="Times New Roman" w:cs="Times New Roman"/>
                <w:color w:val="000000"/>
                <w:sz w:val="24"/>
                <w:szCs w:val="24"/>
                <w:lang w:eastAsia="tr-TR"/>
              </w:rPr>
              <w:t>,</w:t>
            </w:r>
            <w:r w:rsidRPr="00505FB4">
              <w:rPr>
                <w:rFonts w:ascii="Times New Roman" w:eastAsia="Times New Roman" w:hAnsi="Times New Roman" w:cs="Times New Roman"/>
                <w:color w:val="000000"/>
                <w:sz w:val="24"/>
                <w:szCs w:val="24"/>
                <w:lang w:eastAsia="tr-TR"/>
              </w:rPr>
              <w:t xml:space="preserve"> Hazine</w:t>
            </w:r>
            <w:r>
              <w:rPr>
                <w:rFonts w:ascii="Times New Roman" w:eastAsia="Times New Roman" w:hAnsi="Times New Roman" w:cs="Times New Roman"/>
                <w:color w:val="000000"/>
                <w:sz w:val="24"/>
                <w:szCs w:val="24"/>
                <w:lang w:eastAsia="tr-TR"/>
              </w:rPr>
              <w:t xml:space="preserve"> ve </w:t>
            </w:r>
            <w:r w:rsidRPr="00505FB4">
              <w:rPr>
                <w:rFonts w:ascii="Times New Roman" w:eastAsia="Times New Roman" w:hAnsi="Times New Roman" w:cs="Times New Roman"/>
                <w:color w:val="000000"/>
                <w:sz w:val="24"/>
                <w:szCs w:val="24"/>
                <w:lang w:eastAsia="tr-TR"/>
              </w:rPr>
              <w:t>İ</w:t>
            </w:r>
            <w:r>
              <w:rPr>
                <w:rFonts w:ascii="Times New Roman" w:eastAsia="Times New Roman" w:hAnsi="Times New Roman" w:cs="Times New Roman"/>
                <w:color w:val="000000"/>
                <w:sz w:val="24"/>
                <w:szCs w:val="24"/>
                <w:lang w:eastAsia="tr-TR"/>
              </w:rPr>
              <w:t xml:space="preserve">potek </w:t>
            </w:r>
            <w:r w:rsidRPr="00505FB4">
              <w:rPr>
                <w:rFonts w:ascii="Times New Roman" w:eastAsia="Times New Roman" w:hAnsi="Times New Roman" w:cs="Times New Roman"/>
                <w:color w:val="000000"/>
                <w:sz w:val="24"/>
                <w:szCs w:val="24"/>
                <w:lang w:eastAsia="tr-TR"/>
              </w:rPr>
              <w:t>F</w:t>
            </w:r>
            <w:r>
              <w:rPr>
                <w:rFonts w:ascii="Times New Roman" w:eastAsia="Times New Roman" w:hAnsi="Times New Roman" w:cs="Times New Roman"/>
                <w:color w:val="000000"/>
                <w:sz w:val="24"/>
                <w:szCs w:val="24"/>
                <w:lang w:eastAsia="tr-TR"/>
              </w:rPr>
              <w:t xml:space="preserve">inansmanı </w:t>
            </w:r>
            <w:r w:rsidRPr="00505FB4">
              <w:rPr>
                <w:rFonts w:ascii="Times New Roman" w:eastAsia="Times New Roman" w:hAnsi="Times New Roman" w:cs="Times New Roman"/>
                <w:color w:val="000000"/>
                <w:sz w:val="24"/>
                <w:szCs w:val="24"/>
                <w:lang w:eastAsia="tr-TR"/>
              </w:rPr>
              <w:t>K</w:t>
            </w:r>
            <w:r>
              <w:rPr>
                <w:rFonts w:ascii="Times New Roman" w:eastAsia="Times New Roman" w:hAnsi="Times New Roman" w:cs="Times New Roman"/>
                <w:color w:val="000000"/>
                <w:sz w:val="24"/>
                <w:szCs w:val="24"/>
                <w:lang w:eastAsia="tr-TR"/>
              </w:rPr>
              <w:t>uruluşları</w:t>
            </w:r>
            <w:r w:rsidRPr="00505FB4">
              <w:rPr>
                <w:rFonts w:ascii="Times New Roman" w:eastAsia="Times New Roman" w:hAnsi="Times New Roman" w:cs="Times New Roman"/>
                <w:color w:val="000000"/>
                <w:sz w:val="24"/>
                <w:szCs w:val="24"/>
                <w:lang w:eastAsia="tr-TR"/>
              </w:rPr>
              <w:t xml:space="preserve"> tarafından ihraç edilen para ve sermaye piyasası araçları</w:t>
            </w:r>
          </w:p>
        </w:tc>
        <w:tc>
          <w:tcPr>
            <w:tcW w:w="1736" w:type="dxa"/>
          </w:tcPr>
          <w:p w:rsidR="00E47EB9" w:rsidRPr="00505FB4" w:rsidRDefault="00E47EB9" w:rsidP="00071DD1">
            <w:pPr>
              <w:jc w:val="center"/>
              <w:rPr>
                <w:rFonts w:ascii="Times New Roman" w:eastAsia="Times New Roman" w:hAnsi="Times New Roman" w:cs="Times New Roman"/>
                <w:color w:val="000000"/>
                <w:sz w:val="24"/>
                <w:szCs w:val="24"/>
                <w:lang w:eastAsia="tr-TR"/>
              </w:rPr>
            </w:pPr>
            <w:r w:rsidRPr="00505FB4">
              <w:rPr>
                <w:rFonts w:ascii="Times New Roman" w:eastAsia="Times New Roman" w:hAnsi="Times New Roman" w:cs="Times New Roman"/>
                <w:color w:val="000000"/>
                <w:sz w:val="24"/>
                <w:szCs w:val="24"/>
                <w:lang w:eastAsia="tr-TR"/>
              </w:rPr>
              <w:t>100</w:t>
            </w:r>
          </w:p>
        </w:tc>
      </w:tr>
      <w:tr w:rsidR="00E47EB9" w:rsidTr="00071DD1">
        <w:tc>
          <w:tcPr>
            <w:tcW w:w="6219" w:type="dxa"/>
          </w:tcPr>
          <w:p w:rsidR="00E47EB9" w:rsidRPr="00505FB4" w:rsidRDefault="00E47EB9" w:rsidP="00071DD1">
            <w:pPr>
              <w:rPr>
                <w:rFonts w:ascii="Times New Roman" w:eastAsia="Times New Roman" w:hAnsi="Times New Roman" w:cs="Times New Roman"/>
                <w:color w:val="000000"/>
                <w:sz w:val="24"/>
                <w:szCs w:val="24"/>
                <w:lang w:eastAsia="tr-TR"/>
              </w:rPr>
            </w:pPr>
            <w:r w:rsidRPr="00505FB4">
              <w:rPr>
                <w:rFonts w:ascii="Times New Roman" w:eastAsia="Times New Roman" w:hAnsi="Times New Roman" w:cs="Times New Roman"/>
                <w:color w:val="000000"/>
                <w:sz w:val="24"/>
                <w:szCs w:val="24"/>
                <w:lang w:eastAsia="tr-TR"/>
              </w:rPr>
              <w:t>Mevduat / katılma hesapları</w:t>
            </w:r>
          </w:p>
        </w:tc>
        <w:tc>
          <w:tcPr>
            <w:tcW w:w="1736" w:type="dxa"/>
          </w:tcPr>
          <w:p w:rsidR="00E47EB9" w:rsidRPr="00505FB4" w:rsidRDefault="00E47EB9" w:rsidP="00071DD1">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10/25</w:t>
            </w:r>
          </w:p>
        </w:tc>
      </w:tr>
      <w:tr w:rsidR="00E47EB9" w:rsidTr="00071DD1">
        <w:trPr>
          <w:trHeight w:val="672"/>
        </w:trPr>
        <w:tc>
          <w:tcPr>
            <w:tcW w:w="6219" w:type="dxa"/>
          </w:tcPr>
          <w:p w:rsidR="00E47EB9" w:rsidRPr="00C272A7" w:rsidRDefault="00E47EB9" w:rsidP="00071DD1">
            <w:pPr>
              <w:rPr>
                <w:rFonts w:ascii="Times New Roman" w:eastAsia="Times New Roman" w:hAnsi="Times New Roman" w:cs="Times New Roman"/>
                <w:color w:val="000000"/>
                <w:sz w:val="24"/>
                <w:szCs w:val="24"/>
                <w:lang w:eastAsia="tr-TR"/>
              </w:rPr>
            </w:pPr>
            <w:r w:rsidRPr="00C272A7">
              <w:rPr>
                <w:rFonts w:ascii="Times New Roman" w:eastAsia="Times New Roman" w:hAnsi="Times New Roman" w:cs="Times New Roman"/>
                <w:color w:val="000000"/>
                <w:sz w:val="24"/>
                <w:szCs w:val="24"/>
                <w:lang w:eastAsia="tr-TR"/>
              </w:rPr>
              <w:t>Kredi alımı ve/veya borçlanma amacıyla Takasbank Para Piyasası işlemleri ile yurtiçi organize para piyasaları işlemleri</w:t>
            </w:r>
          </w:p>
        </w:tc>
        <w:tc>
          <w:tcPr>
            <w:tcW w:w="1736" w:type="dxa"/>
          </w:tcPr>
          <w:p w:rsidR="00E47EB9" w:rsidRPr="00C272A7" w:rsidRDefault="00E47EB9" w:rsidP="00071DD1">
            <w:pPr>
              <w:jc w:val="center"/>
              <w:rPr>
                <w:rFonts w:ascii="Times New Roman" w:eastAsia="Times New Roman" w:hAnsi="Times New Roman" w:cs="Times New Roman"/>
                <w:color w:val="000000"/>
                <w:sz w:val="24"/>
                <w:szCs w:val="24"/>
                <w:lang w:eastAsia="tr-TR"/>
              </w:rPr>
            </w:pPr>
            <w:r w:rsidRPr="00C272A7">
              <w:rPr>
                <w:rFonts w:ascii="Times New Roman" w:eastAsia="Times New Roman" w:hAnsi="Times New Roman" w:cs="Times New Roman"/>
                <w:color w:val="000000"/>
                <w:sz w:val="24"/>
                <w:szCs w:val="24"/>
                <w:lang w:eastAsia="tr-TR"/>
              </w:rPr>
              <w:t>10</w:t>
            </w:r>
          </w:p>
        </w:tc>
      </w:tr>
    </w:tbl>
    <w:p w:rsidR="00E47EB9" w:rsidRDefault="00E47EB9" w:rsidP="00E47EB9">
      <w:pPr>
        <w:pStyle w:val="NormalWeb"/>
        <w:shd w:val="clear" w:color="auto" w:fill="FFFFFF"/>
        <w:spacing w:before="0" w:beforeAutospacing="0" w:after="240" w:afterAutospacing="0"/>
        <w:ind w:right="284"/>
        <w:jc w:val="both"/>
        <w:rPr>
          <w:sz w:val="20"/>
          <w:szCs w:val="20"/>
        </w:rPr>
      </w:pPr>
    </w:p>
    <w:p w:rsidR="00E47EB9" w:rsidRDefault="00E47EB9" w:rsidP="00E47EB9">
      <w:pPr>
        <w:pStyle w:val="NormalWeb"/>
        <w:shd w:val="clear" w:color="auto" w:fill="FFFFFF"/>
        <w:spacing w:before="0" w:beforeAutospacing="0" w:after="240" w:afterAutospacing="0"/>
        <w:ind w:right="284"/>
        <w:jc w:val="both"/>
        <w:rPr>
          <w:sz w:val="20"/>
          <w:szCs w:val="20"/>
        </w:rPr>
      </w:pPr>
    </w:p>
    <w:tbl>
      <w:tblPr>
        <w:tblStyle w:val="TableGrid"/>
        <w:tblW w:w="0" w:type="auto"/>
        <w:tblInd w:w="594" w:type="dxa"/>
        <w:tblLook w:val="04A0" w:firstRow="1" w:lastRow="0" w:firstColumn="1" w:lastColumn="0" w:noHBand="0" w:noVBand="1"/>
      </w:tblPr>
      <w:tblGrid>
        <w:gridCol w:w="6219"/>
        <w:gridCol w:w="1736"/>
      </w:tblGrid>
      <w:tr w:rsidR="00E47EB9" w:rsidRPr="00C272A7" w:rsidTr="00071DD1">
        <w:tc>
          <w:tcPr>
            <w:tcW w:w="6219" w:type="dxa"/>
          </w:tcPr>
          <w:p w:rsidR="00E47EB9" w:rsidRPr="00C272A7" w:rsidRDefault="00E47EB9" w:rsidP="00071DD1">
            <w:pPr>
              <w:spacing w:line="256" w:lineRule="auto"/>
              <w:rPr>
                <w:rFonts w:ascii="Times New Roman" w:eastAsia="Times New Roman" w:hAnsi="Times New Roman" w:cs="Times New Roman"/>
                <w:b/>
                <w:color w:val="000000"/>
                <w:sz w:val="24"/>
                <w:szCs w:val="24"/>
                <w:lang w:eastAsia="tr-TR"/>
              </w:rPr>
            </w:pPr>
            <w:r w:rsidRPr="00C272A7">
              <w:rPr>
                <w:rFonts w:ascii="Times New Roman" w:eastAsia="Times New Roman" w:hAnsi="Times New Roman" w:cs="Times New Roman"/>
                <w:b/>
                <w:color w:val="000000"/>
                <w:sz w:val="24"/>
                <w:szCs w:val="24"/>
                <w:lang w:eastAsia="tr-TR"/>
              </w:rPr>
              <w:t>Diğer Varlık ve İşlemler*</w:t>
            </w:r>
          </w:p>
        </w:tc>
        <w:tc>
          <w:tcPr>
            <w:tcW w:w="1736" w:type="dxa"/>
          </w:tcPr>
          <w:p w:rsidR="00E47EB9" w:rsidRPr="00C272A7" w:rsidRDefault="00E47EB9" w:rsidP="00071DD1">
            <w:pPr>
              <w:jc w:val="center"/>
              <w:rPr>
                <w:rFonts w:ascii="Times New Roman" w:eastAsia="Times New Roman" w:hAnsi="Times New Roman" w:cs="Times New Roman"/>
                <w:b/>
                <w:color w:val="000000"/>
                <w:sz w:val="24"/>
                <w:szCs w:val="24"/>
                <w:lang w:eastAsia="tr-TR"/>
              </w:rPr>
            </w:pPr>
            <w:r w:rsidRPr="00C272A7">
              <w:rPr>
                <w:rFonts w:ascii="Times New Roman" w:eastAsia="Times New Roman" w:hAnsi="Times New Roman" w:cs="Times New Roman"/>
                <w:b/>
                <w:color w:val="000000"/>
                <w:sz w:val="24"/>
                <w:szCs w:val="24"/>
                <w:lang w:eastAsia="tr-TR"/>
              </w:rPr>
              <w:t>Azami</w:t>
            </w:r>
            <w:r w:rsidRPr="00C272A7">
              <w:rPr>
                <w:rStyle w:val="FootnoteReference"/>
                <w:rFonts w:eastAsia="Times New Roman" w:cs="Times New Roman"/>
                <w:b/>
                <w:color w:val="000000"/>
                <w:szCs w:val="24"/>
                <w:lang w:eastAsia="tr-TR"/>
              </w:rPr>
              <w:footnoteReference w:id="32"/>
            </w:r>
          </w:p>
          <w:p w:rsidR="00E47EB9" w:rsidRPr="00C272A7" w:rsidRDefault="00E47EB9" w:rsidP="00071DD1">
            <w:pPr>
              <w:jc w:val="center"/>
              <w:rPr>
                <w:rFonts w:ascii="Times New Roman" w:eastAsia="Times New Roman" w:hAnsi="Times New Roman" w:cs="Times New Roman"/>
                <w:b/>
                <w:color w:val="000000"/>
                <w:sz w:val="24"/>
                <w:szCs w:val="24"/>
                <w:lang w:eastAsia="tr-TR"/>
              </w:rPr>
            </w:pPr>
            <w:r w:rsidRPr="00C272A7">
              <w:rPr>
                <w:rFonts w:ascii="Times New Roman" w:eastAsia="Times New Roman" w:hAnsi="Times New Roman" w:cs="Times New Roman"/>
                <w:b/>
                <w:color w:val="000000"/>
                <w:sz w:val="24"/>
                <w:szCs w:val="24"/>
                <w:lang w:eastAsia="tr-TR"/>
              </w:rPr>
              <w:t>(%)</w:t>
            </w:r>
          </w:p>
        </w:tc>
      </w:tr>
      <w:tr w:rsidR="00E47EB9" w:rsidRPr="00C272A7" w:rsidTr="00071DD1">
        <w:tc>
          <w:tcPr>
            <w:tcW w:w="6219" w:type="dxa"/>
          </w:tcPr>
          <w:p w:rsidR="00E47EB9" w:rsidRPr="00C272A7" w:rsidRDefault="00E47EB9" w:rsidP="00071DD1">
            <w:pPr>
              <w:rPr>
                <w:rFonts w:ascii="Times New Roman" w:eastAsia="Times New Roman" w:hAnsi="Times New Roman" w:cs="Times New Roman"/>
                <w:color w:val="000000"/>
                <w:sz w:val="24"/>
                <w:szCs w:val="24"/>
                <w:lang w:eastAsia="tr-TR"/>
              </w:rPr>
            </w:pPr>
            <w:r w:rsidRPr="00C272A7">
              <w:rPr>
                <w:rFonts w:ascii="Times New Roman" w:eastAsia="Times New Roman" w:hAnsi="Times New Roman" w:cs="Times New Roman"/>
                <w:color w:val="000000"/>
                <w:sz w:val="24"/>
                <w:szCs w:val="24"/>
                <w:lang w:eastAsia="tr-TR"/>
              </w:rPr>
              <w:t>Repo</w:t>
            </w:r>
          </w:p>
        </w:tc>
        <w:tc>
          <w:tcPr>
            <w:tcW w:w="1736" w:type="dxa"/>
          </w:tcPr>
          <w:p w:rsidR="00E47EB9" w:rsidRPr="00C272A7" w:rsidRDefault="00E47EB9" w:rsidP="00071DD1">
            <w:pPr>
              <w:jc w:val="center"/>
              <w:rPr>
                <w:rFonts w:ascii="Times New Roman" w:eastAsia="Times New Roman" w:hAnsi="Times New Roman" w:cs="Times New Roman"/>
                <w:color w:val="000000"/>
                <w:sz w:val="24"/>
                <w:szCs w:val="24"/>
                <w:lang w:eastAsia="tr-TR"/>
              </w:rPr>
            </w:pPr>
            <w:r w:rsidRPr="00C272A7">
              <w:rPr>
                <w:rFonts w:ascii="Times New Roman" w:eastAsia="Times New Roman" w:hAnsi="Times New Roman" w:cs="Times New Roman"/>
                <w:color w:val="000000"/>
                <w:sz w:val="24"/>
                <w:szCs w:val="24"/>
                <w:lang w:eastAsia="tr-TR"/>
              </w:rPr>
              <w:t>10</w:t>
            </w:r>
          </w:p>
        </w:tc>
      </w:tr>
      <w:tr w:rsidR="00E47EB9" w:rsidRPr="00C272A7" w:rsidTr="00071DD1">
        <w:tc>
          <w:tcPr>
            <w:tcW w:w="6219" w:type="dxa"/>
          </w:tcPr>
          <w:p w:rsidR="00E47EB9" w:rsidRPr="00C272A7" w:rsidRDefault="00E47EB9" w:rsidP="00071DD1">
            <w:pPr>
              <w:rPr>
                <w:rFonts w:ascii="Times New Roman" w:eastAsia="Times New Roman" w:hAnsi="Times New Roman" w:cs="Times New Roman"/>
                <w:color w:val="000000"/>
                <w:sz w:val="24"/>
                <w:szCs w:val="24"/>
                <w:lang w:eastAsia="tr-TR"/>
              </w:rPr>
            </w:pPr>
            <w:r w:rsidRPr="00C272A7">
              <w:rPr>
                <w:rFonts w:ascii="Times New Roman" w:eastAsia="Times New Roman" w:hAnsi="Times New Roman" w:cs="Times New Roman"/>
                <w:color w:val="000000"/>
                <w:sz w:val="24"/>
                <w:szCs w:val="24"/>
                <w:lang w:eastAsia="tr-TR"/>
              </w:rPr>
              <w:t>Sermaye piyasası araçları ödünç işlemleri</w:t>
            </w:r>
          </w:p>
        </w:tc>
        <w:tc>
          <w:tcPr>
            <w:tcW w:w="1736" w:type="dxa"/>
          </w:tcPr>
          <w:p w:rsidR="00E47EB9" w:rsidRPr="00C272A7" w:rsidRDefault="00E47EB9" w:rsidP="00071DD1">
            <w:pPr>
              <w:jc w:val="center"/>
              <w:rPr>
                <w:rFonts w:ascii="Times New Roman" w:eastAsia="Times New Roman" w:hAnsi="Times New Roman" w:cs="Times New Roman"/>
                <w:color w:val="000000"/>
                <w:sz w:val="24"/>
                <w:szCs w:val="24"/>
                <w:lang w:eastAsia="tr-TR"/>
              </w:rPr>
            </w:pPr>
            <w:r w:rsidRPr="00C272A7">
              <w:rPr>
                <w:rFonts w:ascii="Times New Roman" w:eastAsia="Times New Roman" w:hAnsi="Times New Roman" w:cs="Times New Roman"/>
                <w:color w:val="000000"/>
                <w:sz w:val="24"/>
                <w:szCs w:val="24"/>
                <w:lang w:eastAsia="tr-TR"/>
              </w:rPr>
              <w:t>50</w:t>
            </w:r>
          </w:p>
        </w:tc>
      </w:tr>
      <w:tr w:rsidR="00E47EB9" w:rsidRPr="00C272A7" w:rsidTr="00071DD1">
        <w:tc>
          <w:tcPr>
            <w:tcW w:w="6219" w:type="dxa"/>
          </w:tcPr>
          <w:p w:rsidR="00E47EB9" w:rsidRPr="00C272A7" w:rsidRDefault="00E47EB9" w:rsidP="00071DD1">
            <w:pPr>
              <w:rPr>
                <w:rFonts w:ascii="Times New Roman" w:eastAsia="Times New Roman" w:hAnsi="Times New Roman" w:cs="Times New Roman"/>
                <w:color w:val="000000"/>
                <w:sz w:val="24"/>
                <w:szCs w:val="24"/>
                <w:lang w:eastAsia="tr-TR"/>
              </w:rPr>
            </w:pPr>
            <w:r w:rsidRPr="00C272A7">
              <w:rPr>
                <w:rFonts w:ascii="Times New Roman" w:eastAsia="Times New Roman" w:hAnsi="Times New Roman" w:cs="Times New Roman"/>
                <w:color w:val="000000"/>
                <w:sz w:val="24"/>
                <w:szCs w:val="24"/>
                <w:lang w:eastAsia="tr-TR"/>
              </w:rPr>
              <w:t>Kıymetli madenler ödünç işlemleri</w:t>
            </w:r>
          </w:p>
        </w:tc>
        <w:tc>
          <w:tcPr>
            <w:tcW w:w="1736" w:type="dxa"/>
          </w:tcPr>
          <w:p w:rsidR="00E47EB9" w:rsidRPr="00C272A7" w:rsidRDefault="00E47EB9" w:rsidP="00071DD1">
            <w:pPr>
              <w:jc w:val="center"/>
              <w:rPr>
                <w:rFonts w:ascii="Times New Roman" w:eastAsia="Times New Roman" w:hAnsi="Times New Roman" w:cs="Times New Roman"/>
                <w:color w:val="000000"/>
                <w:sz w:val="24"/>
                <w:szCs w:val="24"/>
                <w:lang w:eastAsia="tr-TR"/>
              </w:rPr>
            </w:pPr>
            <w:r w:rsidRPr="00C272A7">
              <w:rPr>
                <w:rFonts w:ascii="Times New Roman" w:eastAsia="Times New Roman" w:hAnsi="Times New Roman" w:cs="Times New Roman"/>
                <w:color w:val="000000"/>
                <w:sz w:val="24"/>
                <w:szCs w:val="24"/>
                <w:lang w:eastAsia="tr-TR"/>
              </w:rPr>
              <w:t>75</w:t>
            </w:r>
          </w:p>
        </w:tc>
      </w:tr>
      <w:tr w:rsidR="00E47EB9" w:rsidRPr="00C272A7" w:rsidTr="00071DD1">
        <w:tc>
          <w:tcPr>
            <w:tcW w:w="6219" w:type="dxa"/>
          </w:tcPr>
          <w:p w:rsidR="00E47EB9" w:rsidRPr="00C272A7" w:rsidRDefault="00E47EB9" w:rsidP="00071DD1">
            <w:pPr>
              <w:rPr>
                <w:rFonts w:ascii="Times New Roman" w:eastAsia="Times New Roman" w:hAnsi="Times New Roman" w:cs="Times New Roman"/>
                <w:color w:val="000000"/>
                <w:sz w:val="24"/>
                <w:szCs w:val="24"/>
                <w:lang w:eastAsia="tr-TR"/>
              </w:rPr>
            </w:pPr>
            <w:r w:rsidRPr="00C272A7">
              <w:rPr>
                <w:rFonts w:ascii="Times New Roman" w:eastAsia="Times New Roman" w:hAnsi="Times New Roman" w:cs="Times New Roman"/>
                <w:color w:val="000000"/>
                <w:sz w:val="24"/>
                <w:szCs w:val="24"/>
                <w:lang w:eastAsia="tr-TR"/>
              </w:rPr>
              <w:t>Kıymetli maden ödünç sertifikası</w:t>
            </w:r>
          </w:p>
        </w:tc>
        <w:tc>
          <w:tcPr>
            <w:tcW w:w="1736" w:type="dxa"/>
          </w:tcPr>
          <w:p w:rsidR="00E47EB9" w:rsidRPr="00C272A7" w:rsidRDefault="00E47EB9" w:rsidP="00071DD1">
            <w:pPr>
              <w:jc w:val="center"/>
              <w:rPr>
                <w:rFonts w:ascii="Times New Roman" w:eastAsia="Times New Roman" w:hAnsi="Times New Roman" w:cs="Times New Roman"/>
                <w:color w:val="000000"/>
                <w:sz w:val="24"/>
                <w:szCs w:val="24"/>
                <w:lang w:eastAsia="tr-TR"/>
              </w:rPr>
            </w:pPr>
            <w:r w:rsidRPr="00C272A7">
              <w:rPr>
                <w:rFonts w:ascii="Times New Roman" w:eastAsia="Times New Roman" w:hAnsi="Times New Roman" w:cs="Times New Roman"/>
                <w:color w:val="000000"/>
                <w:sz w:val="24"/>
                <w:szCs w:val="24"/>
                <w:lang w:eastAsia="tr-TR"/>
              </w:rPr>
              <w:t>75</w:t>
            </w:r>
          </w:p>
        </w:tc>
      </w:tr>
    </w:tbl>
    <w:p w:rsidR="00E47EB9" w:rsidRDefault="00E47EB9" w:rsidP="00E47EB9">
      <w:pPr>
        <w:pStyle w:val="NormalWeb"/>
        <w:shd w:val="clear" w:color="auto" w:fill="FFFFFF"/>
        <w:spacing w:before="0" w:beforeAutospacing="0" w:after="240" w:afterAutospacing="0"/>
        <w:ind w:right="284"/>
        <w:jc w:val="both"/>
        <w:rPr>
          <w:sz w:val="20"/>
          <w:szCs w:val="20"/>
        </w:rPr>
      </w:pPr>
    </w:p>
    <w:p w:rsidR="00E47EB9" w:rsidRPr="00BB0908" w:rsidRDefault="00E47EB9" w:rsidP="00E47EB9">
      <w:pPr>
        <w:pStyle w:val="NormalWeb"/>
        <w:shd w:val="clear" w:color="auto" w:fill="FFFFFF"/>
        <w:spacing w:before="0" w:beforeAutospacing="0" w:after="240" w:afterAutospacing="0"/>
        <w:ind w:right="284"/>
        <w:jc w:val="both"/>
        <w:rPr>
          <w:sz w:val="20"/>
          <w:szCs w:val="20"/>
        </w:rPr>
      </w:pPr>
      <w:r>
        <w:rPr>
          <w:sz w:val="20"/>
          <w:szCs w:val="20"/>
        </w:rPr>
        <w:t>*</w:t>
      </w:r>
      <w:r w:rsidRPr="00BB0908">
        <w:rPr>
          <w:sz w:val="20"/>
          <w:szCs w:val="20"/>
        </w:rPr>
        <w:t>Bu Rehber uyarınca fon portföyüne dahil edilmesi uygun görülen diğer varlık ve işlemler rehberde belirtilen sınırlamalar çerçevesinde fon portföyüne dahil edilebilir.</w:t>
      </w:r>
      <w:r>
        <w:rPr>
          <w:sz w:val="20"/>
          <w:szCs w:val="20"/>
        </w:rPr>
        <w:t xml:space="preserve"> Ayrıca, söz konusu varlık ve işlemler, fon türlerine ilişkin sınırlamalar çerçevesinde fon portföyüne dahil edilmelidir. </w:t>
      </w:r>
    </w:p>
    <w:p w:rsidR="00E47EB9" w:rsidRDefault="00E47EB9" w:rsidP="00E47EB9">
      <w:pPr>
        <w:rPr>
          <w:lang w:eastAsia="tr-TR"/>
        </w:rPr>
      </w:pPr>
    </w:p>
    <w:p w:rsidR="00E47EB9" w:rsidRDefault="00E47EB9" w:rsidP="00E47EB9">
      <w:pPr>
        <w:rPr>
          <w:lang w:eastAsia="tr-TR"/>
        </w:rPr>
      </w:pPr>
    </w:p>
    <w:p w:rsidR="00E67598" w:rsidRDefault="00E67598" w:rsidP="00C353F6">
      <w:pPr>
        <w:rPr>
          <w:lang w:eastAsia="tr-TR"/>
        </w:rPr>
      </w:pPr>
    </w:p>
    <w:p w:rsidR="00E67598" w:rsidRDefault="00E67598" w:rsidP="00C353F6">
      <w:pPr>
        <w:rPr>
          <w:lang w:eastAsia="tr-TR"/>
        </w:rPr>
      </w:pPr>
    </w:p>
    <w:p w:rsidR="00E67598" w:rsidRDefault="00E67598" w:rsidP="00C353F6">
      <w:pPr>
        <w:rPr>
          <w:lang w:eastAsia="tr-TR"/>
        </w:rPr>
      </w:pPr>
    </w:p>
    <w:p w:rsidR="00E67598" w:rsidRDefault="00E67598" w:rsidP="00C353F6">
      <w:pPr>
        <w:rPr>
          <w:lang w:eastAsia="tr-TR"/>
        </w:rPr>
      </w:pPr>
    </w:p>
    <w:p w:rsidR="00C353F6" w:rsidRPr="00C353F6" w:rsidRDefault="00E47EB9" w:rsidP="00C353F6">
      <w:pPr>
        <w:jc w:val="right"/>
        <w:rPr>
          <w:rFonts w:ascii="Times New Roman" w:hAnsi="Times New Roman" w:cs="Times New Roman"/>
          <w:b/>
          <w:sz w:val="24"/>
          <w:szCs w:val="24"/>
          <w:lang w:eastAsia="tr-TR"/>
        </w:rPr>
      </w:pPr>
      <w:r>
        <w:rPr>
          <w:rFonts w:ascii="Times New Roman" w:hAnsi="Times New Roman" w:cs="Times New Roman"/>
          <w:b/>
          <w:sz w:val="24"/>
          <w:szCs w:val="24"/>
          <w:lang w:eastAsia="tr-TR"/>
        </w:rPr>
        <w:t>E</w:t>
      </w:r>
      <w:r w:rsidR="00C353F6" w:rsidRPr="00C353F6">
        <w:rPr>
          <w:rFonts w:ascii="Times New Roman" w:hAnsi="Times New Roman" w:cs="Times New Roman"/>
          <w:b/>
          <w:sz w:val="24"/>
          <w:szCs w:val="24"/>
          <w:lang w:eastAsia="tr-TR"/>
        </w:rPr>
        <w:t>K/2</w:t>
      </w:r>
    </w:p>
    <w:p w:rsidR="0014446D" w:rsidRDefault="0014446D" w:rsidP="0014446D">
      <w:pPr>
        <w:pStyle w:val="NormalWeb"/>
        <w:spacing w:before="0" w:beforeAutospacing="0" w:after="0" w:afterAutospacing="0"/>
        <w:jc w:val="both"/>
        <w:rPr>
          <w:b/>
          <w:color w:val="000000"/>
          <w:u w:val="single"/>
        </w:rPr>
      </w:pPr>
      <w:r w:rsidRPr="002179AF">
        <w:rPr>
          <w:b/>
          <w:color w:val="000000"/>
          <w:u w:val="single"/>
        </w:rPr>
        <w:t>Örnek Tablo</w:t>
      </w:r>
    </w:p>
    <w:p w:rsidR="0014446D" w:rsidRPr="002179AF" w:rsidRDefault="0014446D" w:rsidP="0014446D">
      <w:pPr>
        <w:pStyle w:val="NormalWeb"/>
        <w:spacing w:before="0" w:beforeAutospacing="0" w:after="0" w:afterAutospacing="0"/>
        <w:jc w:val="both"/>
        <w:rPr>
          <w:b/>
          <w:color w:val="000000"/>
          <w:u w:val="single"/>
        </w:rPr>
      </w:pPr>
    </w:p>
    <w:tbl>
      <w:tblPr>
        <w:tblStyle w:val="TableGrid"/>
        <w:tblW w:w="9072" w:type="dxa"/>
        <w:tblInd w:w="-5" w:type="dxa"/>
        <w:tblLook w:val="04A0" w:firstRow="1" w:lastRow="0" w:firstColumn="1" w:lastColumn="0" w:noHBand="0" w:noVBand="1"/>
      </w:tblPr>
      <w:tblGrid>
        <w:gridCol w:w="4536"/>
        <w:gridCol w:w="2268"/>
        <w:gridCol w:w="2268"/>
      </w:tblGrid>
      <w:tr w:rsidR="0014446D" w:rsidTr="00BF3704">
        <w:tc>
          <w:tcPr>
            <w:tcW w:w="4536" w:type="dxa"/>
          </w:tcPr>
          <w:p w:rsidR="0014446D" w:rsidRPr="00067CD9" w:rsidRDefault="0014446D" w:rsidP="00BF3704">
            <w:pPr>
              <w:spacing w:before="100" w:beforeAutospacing="1" w:after="100" w:afterAutospacing="1"/>
              <w:jc w:val="both"/>
              <w:rPr>
                <w:rFonts w:ascii="Times New Roman" w:eastAsia="Times New Roman" w:hAnsi="Times New Roman" w:cs="Times New Roman"/>
                <w:b/>
                <w:lang w:eastAsia="tr-TR"/>
              </w:rPr>
            </w:pPr>
          </w:p>
        </w:tc>
        <w:tc>
          <w:tcPr>
            <w:tcW w:w="2268" w:type="dxa"/>
          </w:tcPr>
          <w:p w:rsidR="0014446D" w:rsidRPr="00067CD9" w:rsidRDefault="0014446D" w:rsidP="00BF3704">
            <w:pPr>
              <w:spacing w:before="100" w:beforeAutospacing="1" w:after="100" w:afterAutospacing="1"/>
              <w:jc w:val="both"/>
              <w:rPr>
                <w:rFonts w:ascii="Times New Roman" w:eastAsia="Times New Roman" w:hAnsi="Times New Roman" w:cs="Times New Roman"/>
                <w:b/>
                <w:lang w:eastAsia="tr-TR"/>
              </w:rPr>
            </w:pPr>
            <w:r w:rsidRPr="00067CD9">
              <w:rPr>
                <w:rFonts w:ascii="Times New Roman" w:eastAsia="Times New Roman" w:hAnsi="Times New Roman" w:cs="Times New Roman"/>
                <w:b/>
                <w:lang w:eastAsia="tr-TR"/>
              </w:rPr>
              <w:t>ABCYatırım Fonu</w:t>
            </w:r>
          </w:p>
        </w:tc>
        <w:tc>
          <w:tcPr>
            <w:tcW w:w="2268" w:type="dxa"/>
          </w:tcPr>
          <w:p w:rsidR="0014446D" w:rsidRPr="00067CD9" w:rsidRDefault="0014446D" w:rsidP="00BF3704">
            <w:pPr>
              <w:spacing w:before="100" w:beforeAutospacing="1" w:after="100" w:afterAutospacing="1"/>
              <w:jc w:val="both"/>
              <w:rPr>
                <w:rFonts w:ascii="Times New Roman" w:eastAsia="Times New Roman" w:hAnsi="Times New Roman" w:cs="Times New Roman"/>
                <w:b/>
                <w:lang w:eastAsia="tr-TR"/>
              </w:rPr>
            </w:pPr>
            <w:r w:rsidRPr="00067CD9">
              <w:rPr>
                <w:rFonts w:ascii="Times New Roman" w:eastAsia="Times New Roman" w:hAnsi="Times New Roman" w:cs="Times New Roman"/>
                <w:b/>
                <w:lang w:eastAsia="tr-TR"/>
              </w:rPr>
              <w:t>XYZ Yatırım Fonu</w:t>
            </w:r>
          </w:p>
        </w:tc>
      </w:tr>
      <w:tr w:rsidR="0014446D" w:rsidTr="00BF3704">
        <w:tc>
          <w:tcPr>
            <w:tcW w:w="4536" w:type="dxa"/>
          </w:tcPr>
          <w:p w:rsidR="0014446D" w:rsidRPr="00067CD9" w:rsidRDefault="0014446D" w:rsidP="00BF3704">
            <w:pPr>
              <w:spacing w:before="100" w:beforeAutospacing="1"/>
              <w:jc w:val="both"/>
              <w:rPr>
                <w:rFonts w:ascii="Times New Roman" w:eastAsia="Times New Roman" w:hAnsi="Times New Roman" w:cs="Times New Roman"/>
                <w:b/>
                <w:lang w:eastAsia="tr-TR"/>
              </w:rPr>
            </w:pPr>
            <w:r w:rsidRPr="00067CD9">
              <w:rPr>
                <w:rFonts w:ascii="Times New Roman" w:eastAsia="Times New Roman" w:hAnsi="Times New Roman" w:cs="Times New Roman"/>
                <w:b/>
                <w:lang w:eastAsia="tr-TR"/>
              </w:rPr>
              <w:t xml:space="preserve">Net Basit Getiri </w:t>
            </w:r>
          </w:p>
          <w:p w:rsidR="0014446D" w:rsidRPr="00067CD9" w:rsidRDefault="0014446D" w:rsidP="00BF3704">
            <w:pPr>
              <w:spacing w:before="100" w:beforeAutospacing="1"/>
              <w:jc w:val="both"/>
              <w:rPr>
                <w:rFonts w:ascii="Times New Roman" w:eastAsia="Times New Roman" w:hAnsi="Times New Roman" w:cs="Times New Roman"/>
                <w:lang w:eastAsia="tr-TR"/>
              </w:rPr>
            </w:pPr>
            <w:r w:rsidRPr="00067CD9">
              <w:rPr>
                <w:rFonts w:ascii="Times New Roman" w:eastAsia="Times New Roman" w:hAnsi="Times New Roman" w:cs="Times New Roman"/>
                <w:lang w:eastAsia="tr-TR"/>
              </w:rPr>
              <w:t>(Dönem sonu birim fiyat  - Dönem başı birim fiyat) / Dönem başı birim fiyat</w:t>
            </w:r>
          </w:p>
        </w:tc>
        <w:tc>
          <w:tcPr>
            <w:tcW w:w="2268" w:type="dxa"/>
          </w:tcPr>
          <w:p w:rsidR="0014446D" w:rsidRPr="00067CD9" w:rsidRDefault="0014446D" w:rsidP="00BF3704">
            <w:pPr>
              <w:spacing w:before="100" w:beforeAutospacing="1" w:after="100" w:afterAutospacing="1"/>
              <w:jc w:val="both"/>
              <w:rPr>
                <w:rFonts w:ascii="Times New Roman" w:eastAsia="Times New Roman" w:hAnsi="Times New Roman" w:cs="Times New Roman"/>
                <w:lang w:eastAsia="tr-TR"/>
              </w:rPr>
            </w:pPr>
            <w:r w:rsidRPr="00067CD9">
              <w:rPr>
                <w:rFonts w:ascii="Times New Roman" w:eastAsia="Times New Roman" w:hAnsi="Times New Roman" w:cs="Times New Roman"/>
                <w:lang w:eastAsia="tr-TR"/>
              </w:rPr>
              <w:t xml:space="preserve">%14,00 </w:t>
            </w:r>
          </w:p>
        </w:tc>
        <w:tc>
          <w:tcPr>
            <w:tcW w:w="2268" w:type="dxa"/>
          </w:tcPr>
          <w:p w:rsidR="0014446D" w:rsidRPr="00067CD9" w:rsidRDefault="0014446D" w:rsidP="00BF3704">
            <w:pPr>
              <w:spacing w:before="100" w:beforeAutospacing="1" w:after="100" w:afterAutospacing="1"/>
              <w:jc w:val="both"/>
              <w:rPr>
                <w:rFonts w:ascii="Times New Roman" w:eastAsia="Times New Roman" w:hAnsi="Times New Roman" w:cs="Times New Roman"/>
                <w:lang w:eastAsia="tr-TR"/>
              </w:rPr>
            </w:pPr>
            <w:r w:rsidRPr="00067CD9">
              <w:rPr>
                <w:rFonts w:ascii="Times New Roman" w:eastAsia="Times New Roman" w:hAnsi="Times New Roman" w:cs="Times New Roman"/>
                <w:lang w:eastAsia="tr-TR"/>
              </w:rPr>
              <w:t>%15,22</w:t>
            </w:r>
          </w:p>
        </w:tc>
      </w:tr>
      <w:tr w:rsidR="0014446D" w:rsidTr="00BF3704">
        <w:tc>
          <w:tcPr>
            <w:tcW w:w="4536" w:type="dxa"/>
          </w:tcPr>
          <w:p w:rsidR="0014446D" w:rsidRPr="00067CD9" w:rsidRDefault="0014446D" w:rsidP="00BF3704">
            <w:pPr>
              <w:spacing w:before="100" w:beforeAutospacing="1" w:after="100" w:afterAutospacing="1"/>
              <w:jc w:val="both"/>
              <w:rPr>
                <w:rFonts w:ascii="Times New Roman" w:eastAsia="Times New Roman" w:hAnsi="Times New Roman" w:cs="Times New Roman"/>
                <w:b/>
                <w:lang w:eastAsia="tr-TR"/>
              </w:rPr>
            </w:pPr>
            <w:r w:rsidRPr="00067CD9">
              <w:rPr>
                <w:rFonts w:ascii="Times New Roman" w:eastAsia="Times New Roman" w:hAnsi="Times New Roman" w:cs="Times New Roman"/>
                <w:b/>
                <w:lang w:eastAsia="tr-TR"/>
              </w:rPr>
              <w:t>Gerçekleşen Fon Toplam Giderleri Oranı</w:t>
            </w:r>
          </w:p>
        </w:tc>
        <w:tc>
          <w:tcPr>
            <w:tcW w:w="2268" w:type="dxa"/>
          </w:tcPr>
          <w:p w:rsidR="0014446D" w:rsidRPr="00067CD9" w:rsidRDefault="0014446D" w:rsidP="00BF3704">
            <w:pPr>
              <w:spacing w:before="100" w:beforeAutospacing="1" w:after="100" w:afterAutospacing="1"/>
              <w:jc w:val="both"/>
              <w:rPr>
                <w:rFonts w:ascii="Times New Roman" w:eastAsia="Times New Roman" w:hAnsi="Times New Roman" w:cs="Times New Roman"/>
                <w:lang w:eastAsia="tr-TR"/>
              </w:rPr>
            </w:pPr>
            <w:r w:rsidRPr="00067CD9">
              <w:rPr>
                <w:rFonts w:ascii="Times New Roman" w:eastAsia="Times New Roman" w:hAnsi="Times New Roman" w:cs="Times New Roman"/>
                <w:lang w:eastAsia="tr-TR"/>
              </w:rPr>
              <w:t>%2,50*</w:t>
            </w:r>
          </w:p>
        </w:tc>
        <w:tc>
          <w:tcPr>
            <w:tcW w:w="2268" w:type="dxa"/>
          </w:tcPr>
          <w:p w:rsidR="0014446D" w:rsidRPr="00067CD9" w:rsidRDefault="0014446D" w:rsidP="00BF3704">
            <w:pPr>
              <w:spacing w:before="100" w:beforeAutospacing="1" w:after="100" w:afterAutospacing="1"/>
              <w:jc w:val="both"/>
              <w:rPr>
                <w:rFonts w:ascii="Times New Roman" w:eastAsia="Times New Roman" w:hAnsi="Times New Roman" w:cs="Times New Roman"/>
                <w:lang w:eastAsia="tr-TR"/>
              </w:rPr>
            </w:pPr>
            <w:r w:rsidRPr="00067CD9">
              <w:rPr>
                <w:rFonts w:ascii="Times New Roman" w:eastAsia="Times New Roman" w:hAnsi="Times New Roman" w:cs="Times New Roman"/>
                <w:lang w:eastAsia="tr-TR"/>
              </w:rPr>
              <w:t>%2,28*</w:t>
            </w:r>
          </w:p>
        </w:tc>
      </w:tr>
      <w:tr w:rsidR="0014446D" w:rsidTr="00BF3704">
        <w:tc>
          <w:tcPr>
            <w:tcW w:w="4536" w:type="dxa"/>
          </w:tcPr>
          <w:p w:rsidR="0014446D" w:rsidRPr="00067CD9" w:rsidRDefault="0014446D" w:rsidP="00BF3704">
            <w:pPr>
              <w:spacing w:before="100" w:beforeAutospacing="1" w:after="100" w:afterAutospacing="1"/>
              <w:jc w:val="both"/>
              <w:rPr>
                <w:rFonts w:ascii="Times New Roman" w:eastAsia="Times New Roman" w:hAnsi="Times New Roman" w:cs="Times New Roman"/>
                <w:b/>
                <w:lang w:eastAsia="tr-TR"/>
              </w:rPr>
            </w:pPr>
            <w:r w:rsidRPr="00067CD9">
              <w:rPr>
                <w:rFonts w:ascii="Times New Roman" w:eastAsia="Times New Roman" w:hAnsi="Times New Roman" w:cs="Times New Roman"/>
                <w:b/>
                <w:lang w:eastAsia="tr-TR"/>
              </w:rPr>
              <w:t xml:space="preserve">Azami Toplam Gider Oranı </w:t>
            </w:r>
          </w:p>
        </w:tc>
        <w:tc>
          <w:tcPr>
            <w:tcW w:w="2268" w:type="dxa"/>
          </w:tcPr>
          <w:p w:rsidR="0014446D" w:rsidRPr="00067CD9" w:rsidRDefault="0014446D" w:rsidP="00BF3704">
            <w:pPr>
              <w:spacing w:before="100" w:beforeAutospacing="1" w:after="100" w:afterAutospacing="1"/>
              <w:jc w:val="both"/>
              <w:rPr>
                <w:rFonts w:ascii="Times New Roman" w:eastAsia="Times New Roman" w:hAnsi="Times New Roman" w:cs="Times New Roman"/>
                <w:lang w:eastAsia="tr-TR"/>
              </w:rPr>
            </w:pPr>
            <w:r w:rsidRPr="00067CD9">
              <w:rPr>
                <w:rFonts w:ascii="Times New Roman" w:eastAsia="Times New Roman" w:hAnsi="Times New Roman" w:cs="Times New Roman"/>
                <w:lang w:eastAsia="tr-TR"/>
              </w:rPr>
              <w:t>%2,28</w:t>
            </w:r>
          </w:p>
        </w:tc>
        <w:tc>
          <w:tcPr>
            <w:tcW w:w="2268" w:type="dxa"/>
          </w:tcPr>
          <w:p w:rsidR="0014446D" w:rsidRPr="00067CD9" w:rsidRDefault="0014446D" w:rsidP="00BF3704">
            <w:pPr>
              <w:spacing w:before="100" w:beforeAutospacing="1" w:after="100" w:afterAutospacing="1"/>
              <w:jc w:val="both"/>
              <w:rPr>
                <w:rFonts w:ascii="Times New Roman" w:eastAsia="Times New Roman" w:hAnsi="Times New Roman" w:cs="Times New Roman"/>
                <w:lang w:eastAsia="tr-TR"/>
              </w:rPr>
            </w:pPr>
            <w:r w:rsidRPr="00067CD9">
              <w:rPr>
                <w:rFonts w:ascii="Times New Roman" w:eastAsia="Times New Roman" w:hAnsi="Times New Roman" w:cs="Times New Roman"/>
                <w:lang w:eastAsia="tr-TR"/>
              </w:rPr>
              <w:t>%2,28</w:t>
            </w:r>
          </w:p>
        </w:tc>
      </w:tr>
      <w:tr w:rsidR="0014446D" w:rsidTr="00BF3704">
        <w:tc>
          <w:tcPr>
            <w:tcW w:w="4536" w:type="dxa"/>
          </w:tcPr>
          <w:p w:rsidR="0014446D" w:rsidRPr="00067CD9" w:rsidRDefault="0014446D" w:rsidP="00BF3704">
            <w:pPr>
              <w:spacing w:before="100" w:beforeAutospacing="1" w:after="100" w:afterAutospacing="1"/>
              <w:rPr>
                <w:rFonts w:ascii="Times New Roman" w:eastAsia="Times New Roman" w:hAnsi="Times New Roman" w:cs="Times New Roman"/>
                <w:b/>
                <w:lang w:eastAsia="tr-TR"/>
              </w:rPr>
            </w:pPr>
            <w:r w:rsidRPr="00067CD9">
              <w:rPr>
                <w:rFonts w:ascii="Times New Roman" w:eastAsia="Times New Roman" w:hAnsi="Times New Roman" w:cs="Times New Roman"/>
                <w:b/>
                <w:lang w:eastAsia="tr-TR"/>
              </w:rPr>
              <w:t xml:space="preserve">Kurucu Tarafından Karşılanan Giderlerin Oranı </w:t>
            </w:r>
          </w:p>
        </w:tc>
        <w:tc>
          <w:tcPr>
            <w:tcW w:w="2268" w:type="dxa"/>
          </w:tcPr>
          <w:p w:rsidR="0014446D" w:rsidRPr="00067CD9" w:rsidRDefault="0014446D" w:rsidP="00BF3704">
            <w:pPr>
              <w:spacing w:before="100" w:beforeAutospacing="1" w:after="100" w:afterAutospacing="1"/>
              <w:jc w:val="both"/>
              <w:rPr>
                <w:rFonts w:ascii="Times New Roman" w:eastAsia="Times New Roman" w:hAnsi="Times New Roman" w:cs="Times New Roman"/>
                <w:lang w:eastAsia="tr-TR"/>
              </w:rPr>
            </w:pPr>
            <w:r w:rsidRPr="00067CD9">
              <w:rPr>
                <w:rFonts w:ascii="Times New Roman" w:eastAsia="Times New Roman" w:hAnsi="Times New Roman" w:cs="Times New Roman"/>
                <w:lang w:eastAsia="tr-TR"/>
              </w:rPr>
              <w:t>%0,22**</w:t>
            </w:r>
          </w:p>
        </w:tc>
        <w:tc>
          <w:tcPr>
            <w:tcW w:w="2268" w:type="dxa"/>
          </w:tcPr>
          <w:p w:rsidR="0014446D" w:rsidRPr="00067CD9" w:rsidRDefault="0014446D" w:rsidP="00BF3704">
            <w:pPr>
              <w:spacing w:before="100" w:beforeAutospacing="1" w:after="100" w:afterAutospacing="1"/>
              <w:jc w:val="both"/>
              <w:rPr>
                <w:rFonts w:ascii="Times New Roman" w:eastAsia="Times New Roman" w:hAnsi="Times New Roman" w:cs="Times New Roman"/>
                <w:lang w:eastAsia="tr-TR"/>
              </w:rPr>
            </w:pPr>
            <w:r w:rsidRPr="00067CD9">
              <w:rPr>
                <w:rFonts w:ascii="Times New Roman" w:eastAsia="Times New Roman" w:hAnsi="Times New Roman" w:cs="Times New Roman"/>
                <w:lang w:eastAsia="tr-TR"/>
              </w:rPr>
              <w:t>%1,00***</w:t>
            </w:r>
          </w:p>
        </w:tc>
      </w:tr>
      <w:tr w:rsidR="0014446D" w:rsidTr="00BF3704">
        <w:tc>
          <w:tcPr>
            <w:tcW w:w="4536" w:type="dxa"/>
          </w:tcPr>
          <w:p w:rsidR="0014446D" w:rsidRPr="00067CD9" w:rsidRDefault="0014446D" w:rsidP="00BF3704">
            <w:pPr>
              <w:spacing w:before="100" w:beforeAutospacing="1" w:after="100" w:afterAutospacing="1"/>
              <w:jc w:val="both"/>
              <w:rPr>
                <w:rFonts w:ascii="Times New Roman" w:eastAsia="Times New Roman" w:hAnsi="Times New Roman" w:cs="Times New Roman"/>
                <w:b/>
                <w:lang w:eastAsia="tr-TR"/>
              </w:rPr>
            </w:pPr>
            <w:r w:rsidRPr="00067CD9">
              <w:rPr>
                <w:rFonts w:ascii="Times New Roman" w:eastAsia="Times New Roman" w:hAnsi="Times New Roman" w:cs="Times New Roman"/>
                <w:b/>
                <w:lang w:eastAsia="tr-TR"/>
              </w:rPr>
              <w:t>Net Gider Oranı</w:t>
            </w:r>
          </w:p>
          <w:p w:rsidR="0014446D" w:rsidRPr="00067CD9" w:rsidRDefault="0014446D" w:rsidP="00BF3704">
            <w:pPr>
              <w:spacing w:before="100" w:beforeAutospacing="1" w:after="100" w:afterAutospacing="1"/>
              <w:jc w:val="both"/>
              <w:rPr>
                <w:rFonts w:ascii="Times New Roman" w:eastAsia="Times New Roman" w:hAnsi="Times New Roman" w:cs="Times New Roman"/>
                <w:b/>
                <w:lang w:eastAsia="tr-TR"/>
              </w:rPr>
            </w:pPr>
            <w:r w:rsidRPr="00067CD9">
              <w:rPr>
                <w:rFonts w:ascii="Times New Roman" w:eastAsia="Times New Roman" w:hAnsi="Times New Roman" w:cs="Times New Roman"/>
                <w:lang w:eastAsia="tr-TR"/>
              </w:rPr>
              <w:t xml:space="preserve">(Gerçekleşen fon toplam gider oranı - </w:t>
            </w:r>
            <w:r w:rsidRPr="00067CD9">
              <w:rPr>
                <w:rFonts w:ascii="Times New Roman" w:eastAsia="Times New Roman" w:hAnsi="Times New Roman" w:cs="Times New Roman"/>
                <w:u w:val="single"/>
                <w:lang w:eastAsia="tr-TR"/>
              </w:rPr>
              <w:t>Dönem içinde</w:t>
            </w:r>
            <w:r w:rsidRPr="00067CD9">
              <w:rPr>
                <w:rFonts w:ascii="Times New Roman" w:eastAsia="Times New Roman" w:hAnsi="Times New Roman" w:cs="Times New Roman"/>
                <w:lang w:eastAsia="tr-TR"/>
              </w:rPr>
              <w:t xml:space="preserve"> kurucu tarafından karşılanan fon giderlerinin toplamının oranı)</w:t>
            </w:r>
          </w:p>
        </w:tc>
        <w:tc>
          <w:tcPr>
            <w:tcW w:w="2268" w:type="dxa"/>
          </w:tcPr>
          <w:p w:rsidR="0014446D" w:rsidRPr="00067CD9" w:rsidRDefault="0014446D" w:rsidP="00BF3704">
            <w:pPr>
              <w:spacing w:before="100" w:beforeAutospacing="1" w:after="100" w:afterAutospacing="1"/>
              <w:jc w:val="both"/>
              <w:rPr>
                <w:rFonts w:ascii="Times New Roman" w:eastAsia="Times New Roman" w:hAnsi="Times New Roman" w:cs="Times New Roman"/>
                <w:lang w:eastAsia="tr-TR"/>
              </w:rPr>
            </w:pPr>
            <w:r w:rsidRPr="00067CD9">
              <w:rPr>
                <w:rFonts w:ascii="Times New Roman" w:eastAsia="Times New Roman" w:hAnsi="Times New Roman" w:cs="Times New Roman"/>
                <w:lang w:eastAsia="tr-TR"/>
              </w:rPr>
              <w:t>%2,50</w:t>
            </w:r>
          </w:p>
        </w:tc>
        <w:tc>
          <w:tcPr>
            <w:tcW w:w="2268" w:type="dxa"/>
          </w:tcPr>
          <w:p w:rsidR="0014446D" w:rsidRPr="00067CD9" w:rsidRDefault="0014446D" w:rsidP="00BF3704">
            <w:pPr>
              <w:spacing w:before="100" w:beforeAutospacing="1" w:after="100" w:afterAutospacing="1"/>
              <w:jc w:val="both"/>
              <w:rPr>
                <w:rFonts w:ascii="Times New Roman" w:eastAsia="Times New Roman" w:hAnsi="Times New Roman" w:cs="Times New Roman"/>
                <w:lang w:eastAsia="tr-TR"/>
              </w:rPr>
            </w:pPr>
            <w:r w:rsidRPr="00067CD9">
              <w:rPr>
                <w:rFonts w:ascii="Times New Roman" w:eastAsia="Times New Roman" w:hAnsi="Times New Roman" w:cs="Times New Roman"/>
                <w:lang w:eastAsia="tr-TR"/>
              </w:rPr>
              <w:t>%1,28</w:t>
            </w:r>
          </w:p>
        </w:tc>
      </w:tr>
      <w:tr w:rsidR="0014446D" w:rsidTr="00BF3704">
        <w:tc>
          <w:tcPr>
            <w:tcW w:w="4536" w:type="dxa"/>
          </w:tcPr>
          <w:p w:rsidR="0014446D" w:rsidRPr="00067CD9" w:rsidRDefault="0014446D" w:rsidP="00BF3704">
            <w:pPr>
              <w:spacing w:before="100" w:beforeAutospacing="1" w:after="100" w:afterAutospacing="1"/>
              <w:jc w:val="both"/>
              <w:rPr>
                <w:rFonts w:ascii="Times New Roman" w:eastAsia="Times New Roman" w:hAnsi="Times New Roman" w:cs="Times New Roman"/>
                <w:b/>
                <w:lang w:eastAsia="tr-TR"/>
              </w:rPr>
            </w:pPr>
            <w:r w:rsidRPr="00067CD9">
              <w:rPr>
                <w:rFonts w:ascii="Times New Roman" w:eastAsia="Times New Roman" w:hAnsi="Times New Roman" w:cs="Times New Roman"/>
                <w:b/>
                <w:lang w:eastAsia="tr-TR"/>
              </w:rPr>
              <w:t xml:space="preserve">Brüt Getiri </w:t>
            </w:r>
          </w:p>
        </w:tc>
        <w:tc>
          <w:tcPr>
            <w:tcW w:w="2268" w:type="dxa"/>
          </w:tcPr>
          <w:p w:rsidR="0014446D" w:rsidRPr="00067CD9" w:rsidRDefault="0014446D" w:rsidP="00BF3704">
            <w:pPr>
              <w:spacing w:before="100" w:beforeAutospacing="1" w:after="100" w:afterAutospacing="1"/>
              <w:jc w:val="both"/>
              <w:rPr>
                <w:rFonts w:ascii="Times New Roman" w:eastAsia="Times New Roman" w:hAnsi="Times New Roman" w:cs="Times New Roman"/>
                <w:lang w:eastAsia="tr-TR"/>
              </w:rPr>
            </w:pPr>
            <w:r w:rsidRPr="00067CD9">
              <w:rPr>
                <w:rFonts w:ascii="Times New Roman" w:eastAsia="Times New Roman" w:hAnsi="Times New Roman" w:cs="Times New Roman"/>
                <w:lang w:eastAsia="tr-TR"/>
              </w:rPr>
              <w:t>%16,50</w:t>
            </w:r>
          </w:p>
        </w:tc>
        <w:tc>
          <w:tcPr>
            <w:tcW w:w="2268" w:type="dxa"/>
          </w:tcPr>
          <w:p w:rsidR="0014446D" w:rsidRPr="00067CD9" w:rsidRDefault="0014446D" w:rsidP="00BF3704">
            <w:pPr>
              <w:spacing w:before="100" w:beforeAutospacing="1" w:after="100" w:afterAutospacing="1"/>
              <w:jc w:val="both"/>
              <w:rPr>
                <w:rFonts w:ascii="Times New Roman" w:eastAsia="Times New Roman" w:hAnsi="Times New Roman" w:cs="Times New Roman"/>
                <w:lang w:eastAsia="tr-TR"/>
              </w:rPr>
            </w:pPr>
            <w:r w:rsidRPr="00067CD9">
              <w:rPr>
                <w:rFonts w:ascii="Times New Roman" w:eastAsia="Times New Roman" w:hAnsi="Times New Roman" w:cs="Times New Roman"/>
                <w:lang w:eastAsia="tr-TR"/>
              </w:rPr>
              <w:t>%16,50</w:t>
            </w:r>
          </w:p>
        </w:tc>
      </w:tr>
    </w:tbl>
    <w:p w:rsidR="0014446D" w:rsidRDefault="0014446D" w:rsidP="0014446D"/>
    <w:p w:rsidR="0014446D" w:rsidRPr="00EE4825" w:rsidRDefault="0014446D" w:rsidP="0014446D">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w:t>
      </w:r>
      <w:r w:rsidRPr="00EE4825">
        <w:rPr>
          <w:rFonts w:ascii="Times New Roman" w:eastAsia="Times New Roman" w:hAnsi="Times New Roman" w:cs="Times New Roman"/>
          <w:sz w:val="24"/>
          <w:szCs w:val="24"/>
          <w:lang w:eastAsia="tr-TR"/>
        </w:rPr>
        <w:t xml:space="preserve">Her iki örnekte de </w:t>
      </w:r>
      <w:r>
        <w:rPr>
          <w:rFonts w:ascii="Times New Roman" w:eastAsia="Times New Roman" w:hAnsi="Times New Roman" w:cs="Times New Roman"/>
          <w:sz w:val="24"/>
          <w:szCs w:val="24"/>
          <w:lang w:eastAsia="tr-TR"/>
        </w:rPr>
        <w:t>kurucu</w:t>
      </w:r>
      <w:r w:rsidRPr="00EE4825">
        <w:rPr>
          <w:rFonts w:ascii="Times New Roman" w:eastAsia="Times New Roman" w:hAnsi="Times New Roman" w:cs="Times New Roman"/>
          <w:sz w:val="24"/>
          <w:szCs w:val="24"/>
          <w:lang w:eastAsia="tr-TR"/>
        </w:rPr>
        <w:t xml:space="preserve"> tarafından karşılananlar da dahil olmak üzere</w:t>
      </w:r>
      <w:r>
        <w:rPr>
          <w:rFonts w:ascii="Times New Roman" w:eastAsia="Times New Roman" w:hAnsi="Times New Roman" w:cs="Times New Roman"/>
          <w:sz w:val="24"/>
          <w:szCs w:val="24"/>
          <w:lang w:eastAsia="tr-TR"/>
        </w:rPr>
        <w:t>,</w:t>
      </w:r>
      <w:r w:rsidRPr="00EE4825">
        <w:rPr>
          <w:rFonts w:ascii="Times New Roman" w:eastAsia="Times New Roman" w:hAnsi="Times New Roman" w:cs="Times New Roman"/>
          <w:sz w:val="24"/>
          <w:szCs w:val="24"/>
          <w:lang w:eastAsia="tr-TR"/>
        </w:rPr>
        <w:t xml:space="preserve"> tüm fon giderleri fon muhasebesine yansıtılarak hesaplanmıştır.</w:t>
      </w:r>
    </w:p>
    <w:p w:rsidR="0014446D" w:rsidRPr="00EE4825" w:rsidRDefault="0014446D" w:rsidP="0014446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E4825">
        <w:rPr>
          <w:rFonts w:ascii="Times New Roman" w:eastAsia="Times New Roman" w:hAnsi="Times New Roman" w:cs="Times New Roman"/>
          <w:sz w:val="24"/>
          <w:szCs w:val="24"/>
          <w:lang w:eastAsia="tr-TR"/>
        </w:rPr>
        <w:t xml:space="preserve">**Azami toplam gider oranının aşılması nedeniyle kurucu tarafından dönem sonunu takip eden 5 iş günü içinde fona iade edilen giderlerin oranını ifade etmektedir. Bu sebeple, karşılanan bu giderler fonun ilgili döneme ilişkin net giderlerin hesaplanmasına dahil edilmemektedir. Bu örnekte, kurucu tarafından karşılanan fon giderleri için dönem içinde fon muhasebesinde kurucudan herhangi bir alacak kaydı oluşturulmadığı varsayılmıştır. Oluşturulması halinde ise XYZ Yatırım Fonu için yapılan hesaplama örneği uygulanır. </w:t>
      </w:r>
    </w:p>
    <w:p w:rsidR="0014446D" w:rsidRDefault="0014446D" w:rsidP="0014446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E4825">
        <w:rPr>
          <w:rFonts w:ascii="Times New Roman" w:eastAsia="Times New Roman" w:hAnsi="Times New Roman" w:cs="Times New Roman"/>
          <w:sz w:val="24"/>
          <w:szCs w:val="24"/>
          <w:lang w:eastAsia="tr-TR"/>
        </w:rPr>
        <w:t>***Fonun gerçekleşen giderleri, azami fon toplam gider oranını aşmamasına rağmen, dönem içinde kurucu tarafından karşılanmış fon giderlerini ifade etmektedir. Bu sebeple, karşılanan bu giderler fonun ilgili döneme ilişkin net giderlerin hesaplanmasına dahil edilmiştir. Bu örnekte, kurucu tarafından karşılanan fon giderleri için dönem içinde fon muhasebesinde kurucudan alacak kaydı oluşturulduğu varsayılmıştır.</w:t>
      </w:r>
    </w:p>
    <w:p w:rsidR="0014446D" w:rsidRDefault="0014446D" w:rsidP="0014446D">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14446D" w:rsidRDefault="0014446D" w:rsidP="0014446D">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E67598" w:rsidRDefault="00E67598" w:rsidP="0014446D">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E67598" w:rsidRDefault="00E67598" w:rsidP="0014446D">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EB2CE7" w:rsidRDefault="00EB2CE7" w:rsidP="0014446D">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9F60FB" w:rsidRDefault="009F60FB" w:rsidP="0014446D">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9F60FB" w:rsidRDefault="009F60FB" w:rsidP="0014446D">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14446D" w:rsidRDefault="0014446D" w:rsidP="00730E2E">
      <w:pPr>
        <w:jc w:val="right"/>
        <w:rPr>
          <w:rFonts w:ascii="Times New Roman" w:eastAsia="Times New Roman" w:hAnsi="Times New Roman" w:cs="Times New Roman"/>
          <w:sz w:val="24"/>
          <w:szCs w:val="24"/>
          <w:lang w:eastAsia="tr-TR"/>
        </w:rPr>
      </w:pPr>
      <w:r w:rsidRPr="00C353F6">
        <w:rPr>
          <w:rFonts w:ascii="Times New Roman" w:hAnsi="Times New Roman" w:cs="Times New Roman"/>
          <w:b/>
          <w:sz w:val="24"/>
          <w:szCs w:val="24"/>
          <w:lang w:eastAsia="tr-TR"/>
        </w:rPr>
        <w:t>EK/3</w:t>
      </w:r>
    </w:p>
    <w:p w:rsidR="00C353F6" w:rsidRPr="00C353F6" w:rsidRDefault="00C353F6" w:rsidP="00C353F6">
      <w:pPr>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ÖRNEK 1</w:t>
      </w:r>
    </w:p>
    <w:p w:rsidR="00C353F6" w:rsidRPr="00C353F6" w:rsidRDefault="00C353F6" w:rsidP="00C353F6">
      <w:pPr>
        <w:jc w:val="both"/>
        <w:rPr>
          <w:rFonts w:ascii="Times New Roman" w:hAnsi="Times New Roman" w:cs="Times New Roman"/>
          <w:sz w:val="24"/>
          <w:szCs w:val="24"/>
          <w:lang w:eastAsia="tr-TR"/>
        </w:rPr>
      </w:pPr>
      <w:r w:rsidRPr="00C353F6">
        <w:rPr>
          <w:rFonts w:ascii="Times New Roman" w:hAnsi="Times New Roman" w:cs="Times New Roman"/>
          <w:sz w:val="24"/>
          <w:szCs w:val="24"/>
          <w:lang w:eastAsia="tr-TR"/>
        </w:rPr>
        <w:t xml:space="preserve">ABC ileri fiyatlı işlem gören, alım satım talimatlarını 13:30’a kadar kabul eden ve satım talimatları kapsamındaki ödemeleri talimatın alınmasını takip eden ikinci işgünü (T+2) yerine getiren bir fondur. 11 Aralık 2013 tarihinde saat 13:30’a kadar alınan alım satım talimatları aşağıdaki gibidir.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3133"/>
        <w:gridCol w:w="3134"/>
      </w:tblGrid>
      <w:tr w:rsidR="00C353F6" w:rsidRPr="00C353F6" w:rsidTr="00C353F6">
        <w:tc>
          <w:tcPr>
            <w:tcW w:w="2795" w:type="dxa"/>
            <w:shd w:val="clear" w:color="auto" w:fill="auto"/>
          </w:tcPr>
          <w:p w:rsidR="00C353F6" w:rsidRPr="00C353F6" w:rsidRDefault="00C353F6" w:rsidP="0009238A">
            <w:pPr>
              <w:spacing w:after="0"/>
              <w:jc w:val="both"/>
              <w:rPr>
                <w:rFonts w:ascii="Times New Roman" w:hAnsi="Times New Roman" w:cs="Times New Roman"/>
                <w:b/>
                <w:sz w:val="24"/>
                <w:szCs w:val="24"/>
                <w:lang w:eastAsia="tr-TR"/>
              </w:rPr>
            </w:pPr>
          </w:p>
        </w:tc>
        <w:tc>
          <w:tcPr>
            <w:tcW w:w="3133" w:type="dxa"/>
            <w:shd w:val="clear" w:color="auto" w:fill="auto"/>
          </w:tcPr>
          <w:p w:rsidR="00C353F6" w:rsidRPr="00C353F6" w:rsidRDefault="00C353F6" w:rsidP="0009238A">
            <w:pPr>
              <w:spacing w:after="0"/>
              <w:jc w:val="both"/>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Alım Talimatı</w:t>
            </w:r>
          </w:p>
        </w:tc>
        <w:tc>
          <w:tcPr>
            <w:tcW w:w="3134" w:type="dxa"/>
            <w:shd w:val="clear" w:color="auto" w:fill="auto"/>
          </w:tcPr>
          <w:p w:rsidR="00C353F6" w:rsidRPr="00C353F6" w:rsidRDefault="00C353F6" w:rsidP="0009238A">
            <w:pPr>
              <w:spacing w:after="0"/>
              <w:jc w:val="both"/>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Satım Talimatı</w:t>
            </w:r>
          </w:p>
        </w:tc>
      </w:tr>
      <w:tr w:rsidR="00C353F6" w:rsidRPr="00C353F6" w:rsidTr="00C353F6">
        <w:tc>
          <w:tcPr>
            <w:tcW w:w="2795" w:type="dxa"/>
            <w:shd w:val="clear" w:color="auto" w:fill="auto"/>
          </w:tcPr>
          <w:p w:rsidR="00C353F6" w:rsidRPr="00C353F6" w:rsidRDefault="00C353F6" w:rsidP="0009238A">
            <w:pPr>
              <w:spacing w:after="0"/>
              <w:jc w:val="both"/>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13:30 Öncesi</w:t>
            </w:r>
          </w:p>
        </w:tc>
        <w:tc>
          <w:tcPr>
            <w:tcW w:w="3133" w:type="dxa"/>
            <w:shd w:val="clear" w:color="auto" w:fill="auto"/>
          </w:tcPr>
          <w:p w:rsidR="00C353F6" w:rsidRPr="00C353F6" w:rsidRDefault="00C353F6" w:rsidP="0009238A">
            <w:pPr>
              <w:spacing w:after="0"/>
              <w:jc w:val="both"/>
              <w:rPr>
                <w:rFonts w:ascii="Times New Roman" w:hAnsi="Times New Roman" w:cs="Times New Roman"/>
                <w:sz w:val="24"/>
                <w:szCs w:val="24"/>
                <w:lang w:eastAsia="tr-TR"/>
              </w:rPr>
            </w:pPr>
            <w:r w:rsidRPr="00C353F6">
              <w:rPr>
                <w:rFonts w:ascii="Times New Roman" w:hAnsi="Times New Roman" w:cs="Times New Roman"/>
                <w:sz w:val="24"/>
                <w:szCs w:val="24"/>
                <w:lang w:eastAsia="tr-TR"/>
              </w:rPr>
              <w:t>15.000 Pay</w:t>
            </w:r>
          </w:p>
        </w:tc>
        <w:tc>
          <w:tcPr>
            <w:tcW w:w="3134" w:type="dxa"/>
            <w:shd w:val="clear" w:color="auto" w:fill="auto"/>
          </w:tcPr>
          <w:p w:rsidR="00C353F6" w:rsidRPr="00C353F6" w:rsidRDefault="00C353F6" w:rsidP="0009238A">
            <w:pPr>
              <w:spacing w:after="0"/>
              <w:jc w:val="both"/>
              <w:rPr>
                <w:rFonts w:ascii="Times New Roman" w:hAnsi="Times New Roman" w:cs="Times New Roman"/>
                <w:sz w:val="24"/>
                <w:szCs w:val="24"/>
                <w:lang w:eastAsia="tr-TR"/>
              </w:rPr>
            </w:pPr>
            <w:r w:rsidRPr="00C353F6">
              <w:rPr>
                <w:rFonts w:ascii="Times New Roman" w:hAnsi="Times New Roman" w:cs="Times New Roman"/>
                <w:sz w:val="24"/>
                <w:szCs w:val="24"/>
                <w:lang w:eastAsia="tr-TR"/>
              </w:rPr>
              <w:t>5.000 Pay</w:t>
            </w:r>
          </w:p>
        </w:tc>
      </w:tr>
    </w:tbl>
    <w:p w:rsidR="00C353F6" w:rsidRPr="00C353F6" w:rsidRDefault="00C353F6" w:rsidP="00C353F6">
      <w:pPr>
        <w:jc w:val="both"/>
        <w:rPr>
          <w:rFonts w:ascii="Times New Roman" w:hAnsi="Times New Roman" w:cs="Times New Roman"/>
          <w:sz w:val="24"/>
          <w:szCs w:val="24"/>
          <w:lang w:eastAsia="tr-TR"/>
        </w:rPr>
      </w:pPr>
    </w:p>
    <w:p w:rsidR="00C353F6" w:rsidRPr="00C353F6" w:rsidRDefault="00C353F6" w:rsidP="00C353F6">
      <w:pPr>
        <w:jc w:val="both"/>
        <w:rPr>
          <w:rFonts w:ascii="Times New Roman" w:hAnsi="Times New Roman" w:cs="Times New Roman"/>
          <w:sz w:val="24"/>
          <w:szCs w:val="24"/>
          <w:lang w:eastAsia="tr-TR"/>
        </w:rPr>
      </w:pPr>
      <w:r w:rsidRPr="00C353F6">
        <w:rPr>
          <w:rFonts w:ascii="Times New Roman" w:hAnsi="Times New Roman" w:cs="Times New Roman"/>
          <w:sz w:val="24"/>
          <w:szCs w:val="24"/>
          <w:lang w:eastAsia="tr-TR"/>
        </w:rPr>
        <w:t xml:space="preserve">Fonun 10 Aralık 2013 ve 11 Aralık 2013 tarihlerindeki tedavüldeki pay sayısı ve pay fiyatı aşağıdaki gibidir.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3154"/>
        <w:gridCol w:w="3116"/>
      </w:tblGrid>
      <w:tr w:rsidR="00C353F6" w:rsidRPr="00C353F6" w:rsidTr="00C353F6">
        <w:tc>
          <w:tcPr>
            <w:tcW w:w="2792" w:type="dxa"/>
            <w:shd w:val="clear" w:color="auto" w:fill="auto"/>
          </w:tcPr>
          <w:p w:rsidR="00C353F6" w:rsidRPr="00C353F6" w:rsidRDefault="00C353F6" w:rsidP="0009238A">
            <w:pPr>
              <w:spacing w:after="0"/>
              <w:jc w:val="both"/>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Tarih</w:t>
            </w:r>
          </w:p>
        </w:tc>
        <w:tc>
          <w:tcPr>
            <w:tcW w:w="3154" w:type="dxa"/>
            <w:shd w:val="clear" w:color="auto" w:fill="auto"/>
          </w:tcPr>
          <w:p w:rsidR="00C353F6" w:rsidRPr="00C353F6" w:rsidRDefault="00C353F6" w:rsidP="0009238A">
            <w:pPr>
              <w:spacing w:after="0"/>
              <w:jc w:val="both"/>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Tedavüldeki Pay Sayısı</w:t>
            </w:r>
          </w:p>
        </w:tc>
        <w:tc>
          <w:tcPr>
            <w:tcW w:w="3116" w:type="dxa"/>
            <w:shd w:val="clear" w:color="auto" w:fill="auto"/>
          </w:tcPr>
          <w:p w:rsidR="00C353F6" w:rsidRPr="00C353F6" w:rsidRDefault="00C353F6" w:rsidP="0009238A">
            <w:pPr>
              <w:spacing w:after="0"/>
              <w:jc w:val="both"/>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Birim Pay Fiyatı (TL)</w:t>
            </w:r>
          </w:p>
        </w:tc>
      </w:tr>
      <w:tr w:rsidR="00C353F6" w:rsidRPr="00C353F6" w:rsidTr="00C353F6">
        <w:tc>
          <w:tcPr>
            <w:tcW w:w="2792" w:type="dxa"/>
            <w:shd w:val="clear" w:color="auto" w:fill="auto"/>
          </w:tcPr>
          <w:p w:rsidR="00C353F6" w:rsidRPr="00C353F6" w:rsidRDefault="00C353F6" w:rsidP="0009238A">
            <w:pPr>
              <w:spacing w:after="0"/>
              <w:jc w:val="both"/>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10 Aralık 2013</w:t>
            </w:r>
          </w:p>
        </w:tc>
        <w:tc>
          <w:tcPr>
            <w:tcW w:w="3154" w:type="dxa"/>
            <w:shd w:val="clear" w:color="auto" w:fill="auto"/>
          </w:tcPr>
          <w:p w:rsidR="00C353F6" w:rsidRPr="00C353F6" w:rsidRDefault="00C353F6" w:rsidP="0009238A">
            <w:pPr>
              <w:spacing w:after="0"/>
              <w:jc w:val="both"/>
              <w:rPr>
                <w:rFonts w:ascii="Times New Roman" w:hAnsi="Times New Roman" w:cs="Times New Roman"/>
                <w:sz w:val="24"/>
                <w:szCs w:val="24"/>
                <w:lang w:eastAsia="tr-TR"/>
              </w:rPr>
            </w:pPr>
            <w:r w:rsidRPr="00C353F6">
              <w:rPr>
                <w:rFonts w:ascii="Times New Roman" w:hAnsi="Times New Roman" w:cs="Times New Roman"/>
                <w:sz w:val="24"/>
                <w:szCs w:val="24"/>
                <w:lang w:eastAsia="tr-TR"/>
              </w:rPr>
              <w:t>200.000</w:t>
            </w:r>
          </w:p>
        </w:tc>
        <w:tc>
          <w:tcPr>
            <w:tcW w:w="3116" w:type="dxa"/>
            <w:shd w:val="clear" w:color="auto" w:fill="auto"/>
          </w:tcPr>
          <w:p w:rsidR="00C353F6" w:rsidRPr="00C353F6" w:rsidRDefault="00C353F6" w:rsidP="0009238A">
            <w:pPr>
              <w:spacing w:after="0"/>
              <w:jc w:val="both"/>
              <w:rPr>
                <w:rFonts w:ascii="Times New Roman" w:hAnsi="Times New Roman" w:cs="Times New Roman"/>
                <w:sz w:val="24"/>
                <w:szCs w:val="24"/>
                <w:lang w:eastAsia="tr-TR"/>
              </w:rPr>
            </w:pPr>
            <w:r w:rsidRPr="00C353F6">
              <w:rPr>
                <w:rFonts w:ascii="Times New Roman" w:hAnsi="Times New Roman" w:cs="Times New Roman"/>
                <w:sz w:val="24"/>
                <w:szCs w:val="24"/>
                <w:lang w:eastAsia="tr-TR"/>
              </w:rPr>
              <w:t>10</w:t>
            </w:r>
          </w:p>
        </w:tc>
      </w:tr>
      <w:tr w:rsidR="00C353F6" w:rsidRPr="00C353F6" w:rsidTr="00C353F6">
        <w:tc>
          <w:tcPr>
            <w:tcW w:w="2792" w:type="dxa"/>
            <w:shd w:val="clear" w:color="auto" w:fill="auto"/>
          </w:tcPr>
          <w:p w:rsidR="00C353F6" w:rsidRPr="00C353F6" w:rsidRDefault="00C353F6" w:rsidP="0009238A">
            <w:pPr>
              <w:spacing w:after="0"/>
              <w:jc w:val="both"/>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11 Aralık 2013</w:t>
            </w:r>
          </w:p>
        </w:tc>
        <w:tc>
          <w:tcPr>
            <w:tcW w:w="3154" w:type="dxa"/>
            <w:shd w:val="clear" w:color="auto" w:fill="auto"/>
          </w:tcPr>
          <w:p w:rsidR="00C353F6" w:rsidRPr="00C353F6" w:rsidRDefault="00C353F6" w:rsidP="0009238A">
            <w:pPr>
              <w:spacing w:after="0"/>
              <w:jc w:val="both"/>
              <w:rPr>
                <w:rFonts w:ascii="Times New Roman" w:hAnsi="Times New Roman" w:cs="Times New Roman"/>
                <w:sz w:val="24"/>
                <w:szCs w:val="24"/>
                <w:lang w:eastAsia="tr-TR"/>
              </w:rPr>
            </w:pPr>
            <w:r w:rsidRPr="00C353F6">
              <w:rPr>
                <w:rFonts w:ascii="Times New Roman" w:hAnsi="Times New Roman" w:cs="Times New Roman"/>
                <w:sz w:val="24"/>
                <w:szCs w:val="24"/>
                <w:lang w:eastAsia="tr-TR"/>
              </w:rPr>
              <w:t>200.000</w:t>
            </w:r>
          </w:p>
        </w:tc>
        <w:tc>
          <w:tcPr>
            <w:tcW w:w="3116" w:type="dxa"/>
            <w:shd w:val="clear" w:color="auto" w:fill="auto"/>
          </w:tcPr>
          <w:p w:rsidR="00C353F6" w:rsidRPr="00C353F6" w:rsidRDefault="00C353F6" w:rsidP="0009238A">
            <w:pPr>
              <w:spacing w:after="0"/>
              <w:jc w:val="both"/>
              <w:rPr>
                <w:rFonts w:ascii="Times New Roman" w:hAnsi="Times New Roman" w:cs="Times New Roman"/>
                <w:sz w:val="24"/>
                <w:szCs w:val="24"/>
                <w:lang w:eastAsia="tr-TR"/>
              </w:rPr>
            </w:pPr>
            <w:r w:rsidRPr="00C353F6">
              <w:rPr>
                <w:rFonts w:ascii="Times New Roman" w:hAnsi="Times New Roman" w:cs="Times New Roman"/>
                <w:sz w:val="24"/>
                <w:szCs w:val="24"/>
                <w:lang w:eastAsia="tr-TR"/>
              </w:rPr>
              <w:t>11</w:t>
            </w:r>
          </w:p>
        </w:tc>
      </w:tr>
    </w:tbl>
    <w:p w:rsidR="00C353F6" w:rsidRPr="00C353F6" w:rsidRDefault="00C353F6" w:rsidP="00C353F6">
      <w:pPr>
        <w:jc w:val="both"/>
        <w:rPr>
          <w:rFonts w:ascii="Times New Roman" w:hAnsi="Times New Roman" w:cs="Times New Roman"/>
          <w:sz w:val="24"/>
          <w:szCs w:val="24"/>
          <w:lang w:eastAsia="tr-TR"/>
        </w:rPr>
      </w:pPr>
    </w:p>
    <w:p w:rsidR="00C353F6" w:rsidRPr="00C353F6" w:rsidRDefault="00C353F6" w:rsidP="00C353F6">
      <w:pPr>
        <w:jc w:val="both"/>
        <w:rPr>
          <w:rFonts w:ascii="Times New Roman" w:hAnsi="Times New Roman" w:cs="Times New Roman"/>
          <w:sz w:val="24"/>
          <w:szCs w:val="24"/>
          <w:lang w:eastAsia="tr-TR"/>
        </w:rPr>
      </w:pPr>
      <w:r w:rsidRPr="00C353F6">
        <w:rPr>
          <w:rFonts w:ascii="Times New Roman" w:hAnsi="Times New Roman" w:cs="Times New Roman"/>
          <w:sz w:val="24"/>
          <w:szCs w:val="24"/>
          <w:lang w:eastAsia="tr-TR"/>
        </w:rPr>
        <w:t xml:space="preserve">11 Aralık 2013 tarihinde saat 13:30’dan önce alınan talimatlar, 11 Aralık 2013 akşamı hesaplanan birim pay fiyatından (11 TL) yerine getirilecektir. </w:t>
      </w:r>
    </w:p>
    <w:p w:rsidR="00C353F6" w:rsidRPr="00C353F6" w:rsidRDefault="00C353F6" w:rsidP="00C353F6">
      <w:pPr>
        <w:jc w:val="both"/>
        <w:rPr>
          <w:rFonts w:ascii="Times New Roman" w:hAnsi="Times New Roman" w:cs="Times New Roman"/>
          <w:sz w:val="24"/>
          <w:szCs w:val="24"/>
          <w:lang w:eastAsia="tr-TR"/>
        </w:rPr>
      </w:pPr>
      <w:r w:rsidRPr="00C353F6">
        <w:rPr>
          <w:rFonts w:ascii="Times New Roman" w:hAnsi="Times New Roman" w:cs="Times New Roman"/>
          <w:sz w:val="24"/>
          <w:szCs w:val="24"/>
          <w:lang w:eastAsia="tr-TR"/>
        </w:rPr>
        <w:t xml:space="preserve">İleri fiyatlı fonların alım satım işlemlerinin, tedavüldeki pay sayısı ile fiyatın hesaplanmasından bir iş günü sonra ilişkilendirilmesi gerektiğinden, 11 Aralık 2013 tarihinde saat 13:30 öncesi alınan talimatlar, 12 Aralık 2013 tarihinde tedavüldeki pay sayısı ile ilişkilendirilecektir. Bu çerçevede fonun 12 Aralık 2013 tarihinde tedavüldeki pay sayısı aşağıdaki gibi olacaktır.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3154"/>
        <w:gridCol w:w="3116"/>
      </w:tblGrid>
      <w:tr w:rsidR="00C353F6" w:rsidRPr="00C353F6" w:rsidTr="00C353F6">
        <w:tc>
          <w:tcPr>
            <w:tcW w:w="2792" w:type="dxa"/>
            <w:shd w:val="clear" w:color="auto" w:fill="auto"/>
          </w:tcPr>
          <w:p w:rsidR="00C353F6" w:rsidRPr="00C353F6" w:rsidRDefault="00C353F6" w:rsidP="0009238A">
            <w:pPr>
              <w:spacing w:after="0"/>
              <w:jc w:val="both"/>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Tarih</w:t>
            </w:r>
          </w:p>
        </w:tc>
        <w:tc>
          <w:tcPr>
            <w:tcW w:w="3154" w:type="dxa"/>
            <w:shd w:val="clear" w:color="auto" w:fill="auto"/>
          </w:tcPr>
          <w:p w:rsidR="00C353F6" w:rsidRPr="00C353F6" w:rsidRDefault="00C353F6" w:rsidP="0009238A">
            <w:pPr>
              <w:spacing w:after="0"/>
              <w:jc w:val="both"/>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Tedavüldeki Pay Sayısı</w:t>
            </w:r>
          </w:p>
        </w:tc>
        <w:tc>
          <w:tcPr>
            <w:tcW w:w="3116" w:type="dxa"/>
            <w:shd w:val="clear" w:color="auto" w:fill="auto"/>
          </w:tcPr>
          <w:p w:rsidR="00C353F6" w:rsidRPr="00C353F6" w:rsidRDefault="00C353F6" w:rsidP="0009238A">
            <w:pPr>
              <w:spacing w:after="0"/>
              <w:jc w:val="both"/>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Pay Fiyatı (TL)</w:t>
            </w:r>
          </w:p>
        </w:tc>
      </w:tr>
      <w:tr w:rsidR="00C353F6" w:rsidRPr="00C353F6" w:rsidTr="00C353F6">
        <w:tc>
          <w:tcPr>
            <w:tcW w:w="2792" w:type="dxa"/>
            <w:shd w:val="clear" w:color="auto" w:fill="auto"/>
          </w:tcPr>
          <w:p w:rsidR="00C353F6" w:rsidRPr="00C353F6" w:rsidRDefault="00C353F6" w:rsidP="0009238A">
            <w:pPr>
              <w:spacing w:after="0"/>
              <w:jc w:val="both"/>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12 Aralık 2013</w:t>
            </w:r>
          </w:p>
        </w:tc>
        <w:tc>
          <w:tcPr>
            <w:tcW w:w="3154" w:type="dxa"/>
            <w:shd w:val="clear" w:color="auto" w:fill="auto"/>
          </w:tcPr>
          <w:p w:rsidR="00C353F6" w:rsidRPr="00C353F6" w:rsidRDefault="00C353F6" w:rsidP="0009238A">
            <w:pPr>
              <w:spacing w:after="0"/>
              <w:jc w:val="both"/>
              <w:rPr>
                <w:rFonts w:ascii="Times New Roman" w:hAnsi="Times New Roman" w:cs="Times New Roman"/>
                <w:sz w:val="24"/>
                <w:szCs w:val="24"/>
                <w:lang w:eastAsia="tr-TR"/>
              </w:rPr>
            </w:pPr>
            <w:r w:rsidRPr="00C353F6">
              <w:rPr>
                <w:rFonts w:ascii="Times New Roman" w:hAnsi="Times New Roman" w:cs="Times New Roman"/>
                <w:sz w:val="24"/>
                <w:szCs w:val="24"/>
                <w:lang w:eastAsia="tr-TR"/>
              </w:rPr>
              <w:t>210.000</w:t>
            </w:r>
            <w:r w:rsidRPr="00C353F6">
              <w:rPr>
                <w:rFonts w:ascii="Times New Roman" w:hAnsi="Times New Roman" w:cs="Times New Roman"/>
                <w:sz w:val="24"/>
                <w:szCs w:val="24"/>
                <w:vertAlign w:val="superscript"/>
                <w:lang w:eastAsia="tr-TR"/>
              </w:rPr>
              <w:footnoteReference w:id="33"/>
            </w:r>
          </w:p>
        </w:tc>
        <w:tc>
          <w:tcPr>
            <w:tcW w:w="3116" w:type="dxa"/>
            <w:shd w:val="clear" w:color="auto" w:fill="auto"/>
          </w:tcPr>
          <w:p w:rsidR="00C353F6" w:rsidRPr="00C353F6" w:rsidRDefault="00C353F6" w:rsidP="0009238A">
            <w:pPr>
              <w:spacing w:after="0"/>
              <w:jc w:val="both"/>
              <w:rPr>
                <w:rFonts w:ascii="Times New Roman" w:hAnsi="Times New Roman" w:cs="Times New Roman"/>
                <w:sz w:val="24"/>
                <w:szCs w:val="24"/>
                <w:lang w:eastAsia="tr-TR"/>
              </w:rPr>
            </w:pPr>
            <w:r w:rsidRPr="00C353F6">
              <w:rPr>
                <w:rFonts w:ascii="Times New Roman" w:hAnsi="Times New Roman" w:cs="Times New Roman"/>
                <w:sz w:val="24"/>
                <w:szCs w:val="24"/>
                <w:lang w:eastAsia="tr-TR"/>
              </w:rPr>
              <w:t>11,50</w:t>
            </w:r>
          </w:p>
        </w:tc>
      </w:tr>
    </w:tbl>
    <w:p w:rsidR="00C353F6" w:rsidRPr="00C353F6" w:rsidRDefault="00C353F6" w:rsidP="00C353F6">
      <w:pPr>
        <w:jc w:val="both"/>
        <w:rPr>
          <w:rFonts w:ascii="Times New Roman" w:hAnsi="Times New Roman" w:cs="Times New Roman"/>
          <w:sz w:val="24"/>
          <w:szCs w:val="24"/>
          <w:lang w:eastAsia="tr-TR"/>
        </w:rPr>
      </w:pPr>
    </w:p>
    <w:p w:rsidR="00C353F6" w:rsidRPr="00C353F6" w:rsidRDefault="00C353F6" w:rsidP="00C353F6">
      <w:pPr>
        <w:jc w:val="both"/>
        <w:rPr>
          <w:rFonts w:ascii="Times New Roman" w:hAnsi="Times New Roman" w:cs="Times New Roman"/>
          <w:sz w:val="24"/>
          <w:szCs w:val="24"/>
          <w:lang w:eastAsia="tr-TR"/>
        </w:rPr>
      </w:pPr>
      <w:r w:rsidRPr="00C353F6">
        <w:rPr>
          <w:rFonts w:ascii="Times New Roman" w:hAnsi="Times New Roman" w:cs="Times New Roman"/>
          <w:sz w:val="24"/>
          <w:szCs w:val="24"/>
          <w:lang w:eastAsia="tr-TR"/>
        </w:rPr>
        <w:t xml:space="preserve">11 Aralık 2013 tarihinde saat 13:30’dan önce iletilen satım talimatlarına ilişkin muhasebe kayıtlarının 12 Aralık 2013 günü yapılması (Fon’un borcunun 5.000 * 11= 55.000 TL artırılması ve tedavüldeki pay sayısının o günkü alımlar da dikkate alınarak 210.000 pay olarak kayıtlara geçirilmesi gerekmektedir), pay satışına ilişkin olarak yatırımcılara yapılacak ödemenin 13 Aralık 2013 günü gerçekleştirilmesi ve aynı gün fonun borcunun kapatılması gerekmektedir.  </w:t>
      </w:r>
    </w:p>
    <w:p w:rsidR="00790CE9" w:rsidRDefault="00790CE9" w:rsidP="00C353F6">
      <w:pPr>
        <w:rPr>
          <w:rFonts w:ascii="Times New Roman" w:hAnsi="Times New Roman" w:cs="Times New Roman"/>
          <w:sz w:val="24"/>
          <w:szCs w:val="24"/>
          <w:lang w:eastAsia="tr-TR"/>
        </w:rPr>
      </w:pPr>
    </w:p>
    <w:p w:rsidR="00C353F6" w:rsidRPr="00C353F6" w:rsidRDefault="00C353F6" w:rsidP="00C353F6">
      <w:pPr>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ÖRNEK 2</w:t>
      </w:r>
    </w:p>
    <w:p w:rsidR="00C353F6" w:rsidRPr="00C353F6" w:rsidRDefault="00C353F6" w:rsidP="00C353F6">
      <w:pPr>
        <w:jc w:val="both"/>
        <w:rPr>
          <w:rFonts w:ascii="Times New Roman" w:hAnsi="Times New Roman" w:cs="Times New Roman"/>
          <w:sz w:val="24"/>
          <w:szCs w:val="24"/>
          <w:lang w:eastAsia="tr-TR"/>
        </w:rPr>
      </w:pPr>
      <w:r w:rsidRPr="00C353F6">
        <w:rPr>
          <w:rFonts w:ascii="Times New Roman" w:hAnsi="Times New Roman" w:cs="Times New Roman"/>
          <w:sz w:val="24"/>
          <w:szCs w:val="24"/>
          <w:lang w:eastAsia="tr-TR"/>
        </w:rPr>
        <w:t xml:space="preserve">DEF iş günlerinde 15:00-18:00 arası hariç olmak üzere tüm saatlerde alım satım talimatı kabul eden ve geri fiyattan işlem gören bir fondur. </w:t>
      </w:r>
    </w:p>
    <w:p w:rsidR="00C353F6" w:rsidRDefault="00C353F6" w:rsidP="003A0EC0">
      <w:pPr>
        <w:spacing w:after="0"/>
        <w:jc w:val="both"/>
        <w:rPr>
          <w:rFonts w:ascii="Times New Roman" w:hAnsi="Times New Roman" w:cs="Times New Roman"/>
          <w:sz w:val="24"/>
          <w:szCs w:val="24"/>
          <w:lang w:eastAsia="tr-TR"/>
        </w:rPr>
      </w:pPr>
      <w:r w:rsidRPr="00C353F6">
        <w:rPr>
          <w:rFonts w:ascii="Times New Roman" w:hAnsi="Times New Roman" w:cs="Times New Roman"/>
          <w:sz w:val="24"/>
          <w:szCs w:val="24"/>
          <w:lang w:eastAsia="tr-TR"/>
        </w:rPr>
        <w:t xml:space="preserve">DEF’nin 10 Aralık 2013 saat 18:00’dan 11 Aralık 2013 saat 15:00’a kadar olan alım satım işlemleri aşağıdaki gibidir. </w:t>
      </w:r>
    </w:p>
    <w:p w:rsidR="003A0EC0" w:rsidRPr="00C353F6" w:rsidRDefault="003A0EC0" w:rsidP="003A0EC0">
      <w:pPr>
        <w:spacing w:after="0"/>
        <w:jc w:val="both"/>
        <w:rPr>
          <w:rFonts w:ascii="Times New Roman" w:hAnsi="Times New Roman" w:cs="Times New Roman"/>
          <w:sz w:val="24"/>
          <w:szCs w:val="24"/>
          <w:lang w:eastAsia="tr-T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423"/>
      </w:tblGrid>
      <w:tr w:rsidR="00C353F6" w:rsidRPr="00C353F6" w:rsidTr="00C353F6">
        <w:tc>
          <w:tcPr>
            <w:tcW w:w="4644" w:type="dxa"/>
            <w:shd w:val="clear" w:color="auto" w:fill="auto"/>
          </w:tcPr>
          <w:p w:rsidR="00C353F6" w:rsidRPr="00C353F6" w:rsidRDefault="00C353F6" w:rsidP="003A0EC0">
            <w:pPr>
              <w:spacing w:after="0"/>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Alım İşlemi</w:t>
            </w:r>
          </w:p>
        </w:tc>
        <w:tc>
          <w:tcPr>
            <w:tcW w:w="4423" w:type="dxa"/>
            <w:shd w:val="clear" w:color="auto" w:fill="auto"/>
          </w:tcPr>
          <w:p w:rsidR="00C353F6" w:rsidRPr="00C353F6" w:rsidRDefault="00C353F6" w:rsidP="003A0EC0">
            <w:pPr>
              <w:spacing w:after="0"/>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Satım İşlemi</w:t>
            </w:r>
          </w:p>
        </w:tc>
      </w:tr>
      <w:tr w:rsidR="00C353F6" w:rsidRPr="00C353F6" w:rsidTr="00C353F6">
        <w:tc>
          <w:tcPr>
            <w:tcW w:w="4644" w:type="dxa"/>
            <w:shd w:val="clear" w:color="auto" w:fill="auto"/>
          </w:tcPr>
          <w:p w:rsidR="00C353F6" w:rsidRPr="00C353F6" w:rsidRDefault="00C353F6" w:rsidP="003A0EC0">
            <w:pPr>
              <w:spacing w:after="0"/>
              <w:rPr>
                <w:rFonts w:ascii="Times New Roman" w:hAnsi="Times New Roman" w:cs="Times New Roman"/>
                <w:sz w:val="24"/>
                <w:szCs w:val="24"/>
                <w:lang w:eastAsia="tr-TR"/>
              </w:rPr>
            </w:pPr>
            <w:r w:rsidRPr="00C353F6">
              <w:rPr>
                <w:rFonts w:ascii="Times New Roman" w:hAnsi="Times New Roman" w:cs="Times New Roman"/>
                <w:sz w:val="24"/>
                <w:szCs w:val="24"/>
                <w:lang w:eastAsia="tr-TR"/>
              </w:rPr>
              <w:t>150.000 Pay</w:t>
            </w:r>
          </w:p>
        </w:tc>
        <w:tc>
          <w:tcPr>
            <w:tcW w:w="4423" w:type="dxa"/>
            <w:shd w:val="clear" w:color="auto" w:fill="auto"/>
          </w:tcPr>
          <w:p w:rsidR="00C353F6" w:rsidRPr="00C353F6" w:rsidRDefault="00C353F6" w:rsidP="003A0EC0">
            <w:pPr>
              <w:spacing w:after="0"/>
              <w:rPr>
                <w:rFonts w:ascii="Times New Roman" w:hAnsi="Times New Roman" w:cs="Times New Roman"/>
                <w:sz w:val="24"/>
                <w:szCs w:val="24"/>
                <w:lang w:eastAsia="tr-TR"/>
              </w:rPr>
            </w:pPr>
            <w:r w:rsidRPr="00C353F6">
              <w:rPr>
                <w:rFonts w:ascii="Times New Roman" w:hAnsi="Times New Roman" w:cs="Times New Roman"/>
                <w:sz w:val="24"/>
                <w:szCs w:val="24"/>
                <w:lang w:eastAsia="tr-TR"/>
              </w:rPr>
              <w:t>50.000 Pay</w:t>
            </w:r>
          </w:p>
        </w:tc>
      </w:tr>
    </w:tbl>
    <w:p w:rsidR="00C353F6" w:rsidRPr="00C353F6" w:rsidRDefault="00C353F6" w:rsidP="003A0EC0">
      <w:pPr>
        <w:spacing w:before="240"/>
        <w:jc w:val="both"/>
        <w:rPr>
          <w:rFonts w:ascii="Times New Roman" w:hAnsi="Times New Roman" w:cs="Times New Roman"/>
          <w:sz w:val="24"/>
          <w:szCs w:val="24"/>
          <w:lang w:eastAsia="tr-TR"/>
        </w:rPr>
      </w:pPr>
      <w:r w:rsidRPr="00C353F6">
        <w:rPr>
          <w:rFonts w:ascii="Times New Roman" w:hAnsi="Times New Roman" w:cs="Times New Roman"/>
          <w:sz w:val="24"/>
          <w:szCs w:val="24"/>
          <w:lang w:eastAsia="tr-TR"/>
        </w:rPr>
        <w:t xml:space="preserve">Fonun 10 Aralık 2013 ve 11 Aralık 2013 tarihlerinde tedavüldeki pay sayısı aşağıdaki gibi olacaktır.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3154"/>
        <w:gridCol w:w="3116"/>
      </w:tblGrid>
      <w:tr w:rsidR="00C353F6" w:rsidRPr="00C353F6" w:rsidTr="00C353F6">
        <w:tc>
          <w:tcPr>
            <w:tcW w:w="2792" w:type="dxa"/>
            <w:shd w:val="clear" w:color="auto" w:fill="auto"/>
          </w:tcPr>
          <w:p w:rsidR="00C353F6" w:rsidRPr="00C353F6" w:rsidRDefault="00C353F6" w:rsidP="003A0EC0">
            <w:pPr>
              <w:spacing w:after="0"/>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Tarih</w:t>
            </w:r>
          </w:p>
        </w:tc>
        <w:tc>
          <w:tcPr>
            <w:tcW w:w="3154" w:type="dxa"/>
            <w:shd w:val="clear" w:color="auto" w:fill="auto"/>
          </w:tcPr>
          <w:p w:rsidR="00C353F6" w:rsidRPr="00C353F6" w:rsidRDefault="00C353F6" w:rsidP="003A0EC0">
            <w:pPr>
              <w:spacing w:after="0"/>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Tedavüldeki Pay Sayısı</w:t>
            </w:r>
          </w:p>
        </w:tc>
        <w:tc>
          <w:tcPr>
            <w:tcW w:w="3116" w:type="dxa"/>
            <w:shd w:val="clear" w:color="auto" w:fill="auto"/>
          </w:tcPr>
          <w:p w:rsidR="00C353F6" w:rsidRPr="00C353F6" w:rsidRDefault="00C353F6" w:rsidP="003A0EC0">
            <w:pPr>
              <w:spacing w:after="0"/>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Pay Fiyatı (TL)</w:t>
            </w:r>
          </w:p>
        </w:tc>
      </w:tr>
      <w:tr w:rsidR="00C353F6" w:rsidRPr="00C353F6" w:rsidTr="00C353F6">
        <w:tc>
          <w:tcPr>
            <w:tcW w:w="2792" w:type="dxa"/>
            <w:shd w:val="clear" w:color="auto" w:fill="auto"/>
          </w:tcPr>
          <w:p w:rsidR="00C353F6" w:rsidRPr="00C353F6" w:rsidRDefault="00C353F6" w:rsidP="003A0EC0">
            <w:pPr>
              <w:spacing w:after="0"/>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10 Aralık 2013</w:t>
            </w:r>
          </w:p>
        </w:tc>
        <w:tc>
          <w:tcPr>
            <w:tcW w:w="3154" w:type="dxa"/>
            <w:shd w:val="clear" w:color="auto" w:fill="auto"/>
          </w:tcPr>
          <w:p w:rsidR="00C353F6" w:rsidRPr="00C353F6" w:rsidRDefault="00C353F6" w:rsidP="003A0EC0">
            <w:pPr>
              <w:spacing w:after="0"/>
              <w:rPr>
                <w:rFonts w:ascii="Times New Roman" w:hAnsi="Times New Roman" w:cs="Times New Roman"/>
                <w:sz w:val="24"/>
                <w:szCs w:val="24"/>
                <w:lang w:eastAsia="tr-TR"/>
              </w:rPr>
            </w:pPr>
            <w:r w:rsidRPr="00C353F6">
              <w:rPr>
                <w:rFonts w:ascii="Times New Roman" w:hAnsi="Times New Roman" w:cs="Times New Roman"/>
                <w:sz w:val="24"/>
                <w:szCs w:val="24"/>
                <w:lang w:eastAsia="tr-TR"/>
              </w:rPr>
              <w:t>1.000.000</w:t>
            </w:r>
          </w:p>
        </w:tc>
        <w:tc>
          <w:tcPr>
            <w:tcW w:w="3116" w:type="dxa"/>
            <w:shd w:val="clear" w:color="auto" w:fill="auto"/>
          </w:tcPr>
          <w:p w:rsidR="00C353F6" w:rsidRPr="00C353F6" w:rsidRDefault="00C353F6" w:rsidP="003A0EC0">
            <w:pPr>
              <w:spacing w:after="0"/>
              <w:rPr>
                <w:rFonts w:ascii="Times New Roman" w:hAnsi="Times New Roman" w:cs="Times New Roman"/>
                <w:sz w:val="24"/>
                <w:szCs w:val="24"/>
                <w:lang w:eastAsia="tr-TR"/>
              </w:rPr>
            </w:pPr>
            <w:r w:rsidRPr="00C353F6">
              <w:rPr>
                <w:rFonts w:ascii="Times New Roman" w:hAnsi="Times New Roman" w:cs="Times New Roman"/>
                <w:sz w:val="24"/>
                <w:szCs w:val="24"/>
                <w:lang w:eastAsia="tr-TR"/>
              </w:rPr>
              <w:t>10</w:t>
            </w:r>
          </w:p>
        </w:tc>
      </w:tr>
      <w:tr w:rsidR="00C353F6" w:rsidRPr="00C353F6" w:rsidTr="00C353F6">
        <w:tc>
          <w:tcPr>
            <w:tcW w:w="2792" w:type="dxa"/>
            <w:shd w:val="clear" w:color="auto" w:fill="auto"/>
          </w:tcPr>
          <w:p w:rsidR="00C353F6" w:rsidRPr="00C353F6" w:rsidRDefault="00C353F6" w:rsidP="003A0EC0">
            <w:pPr>
              <w:spacing w:after="0"/>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11 Aralık 2013</w:t>
            </w:r>
          </w:p>
        </w:tc>
        <w:tc>
          <w:tcPr>
            <w:tcW w:w="3154" w:type="dxa"/>
            <w:shd w:val="clear" w:color="auto" w:fill="auto"/>
          </w:tcPr>
          <w:p w:rsidR="00C353F6" w:rsidRPr="00C353F6" w:rsidRDefault="00C353F6" w:rsidP="003A0EC0">
            <w:pPr>
              <w:spacing w:after="0"/>
              <w:rPr>
                <w:rFonts w:ascii="Times New Roman" w:hAnsi="Times New Roman" w:cs="Times New Roman"/>
                <w:sz w:val="24"/>
                <w:szCs w:val="24"/>
                <w:lang w:eastAsia="tr-TR"/>
              </w:rPr>
            </w:pPr>
            <w:r w:rsidRPr="00C353F6">
              <w:rPr>
                <w:rFonts w:ascii="Times New Roman" w:hAnsi="Times New Roman" w:cs="Times New Roman"/>
                <w:sz w:val="24"/>
                <w:szCs w:val="24"/>
                <w:lang w:eastAsia="tr-TR"/>
              </w:rPr>
              <w:t>1.100.000</w:t>
            </w:r>
            <w:r w:rsidRPr="00C353F6">
              <w:rPr>
                <w:rFonts w:ascii="Times New Roman" w:hAnsi="Times New Roman" w:cs="Times New Roman"/>
                <w:sz w:val="24"/>
                <w:szCs w:val="24"/>
                <w:vertAlign w:val="superscript"/>
                <w:lang w:eastAsia="tr-TR"/>
              </w:rPr>
              <w:footnoteReference w:id="34"/>
            </w:r>
          </w:p>
        </w:tc>
        <w:tc>
          <w:tcPr>
            <w:tcW w:w="3116" w:type="dxa"/>
            <w:shd w:val="clear" w:color="auto" w:fill="auto"/>
          </w:tcPr>
          <w:p w:rsidR="00C353F6" w:rsidRPr="00C353F6" w:rsidRDefault="00C353F6" w:rsidP="003A0EC0">
            <w:pPr>
              <w:spacing w:after="0"/>
              <w:rPr>
                <w:rFonts w:ascii="Times New Roman" w:hAnsi="Times New Roman" w:cs="Times New Roman"/>
                <w:sz w:val="24"/>
                <w:szCs w:val="24"/>
                <w:lang w:eastAsia="tr-TR"/>
              </w:rPr>
            </w:pPr>
            <w:r w:rsidRPr="00C353F6">
              <w:rPr>
                <w:rFonts w:ascii="Times New Roman" w:hAnsi="Times New Roman" w:cs="Times New Roman"/>
                <w:sz w:val="24"/>
                <w:szCs w:val="24"/>
                <w:lang w:eastAsia="tr-TR"/>
              </w:rPr>
              <w:t>11</w:t>
            </w:r>
          </w:p>
        </w:tc>
      </w:tr>
    </w:tbl>
    <w:p w:rsidR="00C353F6" w:rsidRDefault="00C353F6" w:rsidP="00C353F6">
      <w:pPr>
        <w:rPr>
          <w:rFonts w:ascii="Times New Roman" w:hAnsi="Times New Roman" w:cs="Times New Roman"/>
          <w:sz w:val="24"/>
          <w:szCs w:val="24"/>
          <w:lang w:eastAsia="tr-TR"/>
        </w:rPr>
      </w:pPr>
    </w:p>
    <w:p w:rsidR="00AF50DF" w:rsidRDefault="00AF50DF" w:rsidP="00C353F6">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9F60FB" w:rsidRDefault="009F60FB" w:rsidP="00C353F6">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9F60FB" w:rsidRDefault="009F60FB" w:rsidP="00C353F6">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9F60FB" w:rsidRDefault="009F60FB" w:rsidP="00C353F6">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9F60FB" w:rsidRDefault="009F60FB" w:rsidP="00C353F6">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9F60FB" w:rsidRDefault="009F60FB" w:rsidP="00C353F6">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9F60FB" w:rsidRDefault="009F60FB" w:rsidP="00C353F6">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9F60FB" w:rsidRDefault="009F60FB" w:rsidP="00C353F6">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9F60FB" w:rsidRDefault="009F60FB" w:rsidP="00C353F6">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9F60FB" w:rsidRDefault="009F60FB" w:rsidP="00C353F6">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9F60FB" w:rsidRDefault="009F60FB" w:rsidP="00C353F6">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9F60FB" w:rsidRDefault="009F60FB" w:rsidP="00C353F6">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9F60FB" w:rsidRDefault="009F60FB" w:rsidP="00C353F6">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9F60FB" w:rsidRDefault="009F60FB" w:rsidP="00C353F6">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9F60FB" w:rsidRDefault="009F60FB" w:rsidP="00C353F6">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9F60FB" w:rsidRDefault="009F60FB" w:rsidP="00C353F6">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9F60FB" w:rsidRDefault="009F60FB" w:rsidP="00C353F6">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9F60FB" w:rsidRDefault="009F60FB" w:rsidP="00C353F6">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9F60FB" w:rsidRDefault="009F60FB" w:rsidP="00C353F6">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C353F6" w:rsidRDefault="00DF336E" w:rsidP="00DF336E">
      <w:pPr>
        <w:jc w:val="right"/>
        <w:rPr>
          <w:rFonts w:ascii="Times New Roman" w:hAnsi="Times New Roman" w:cs="Times New Roman"/>
          <w:b/>
          <w:sz w:val="24"/>
          <w:szCs w:val="24"/>
          <w:lang w:eastAsia="tr-TR"/>
        </w:rPr>
      </w:pPr>
      <w:r w:rsidRPr="00DF336E">
        <w:rPr>
          <w:rFonts w:ascii="Times New Roman" w:hAnsi="Times New Roman" w:cs="Times New Roman"/>
          <w:b/>
          <w:sz w:val="24"/>
          <w:szCs w:val="24"/>
          <w:lang w:eastAsia="tr-TR"/>
        </w:rPr>
        <w:t>EK/4</w:t>
      </w:r>
    </w:p>
    <w:tbl>
      <w:tblPr>
        <w:tblW w:w="9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1128"/>
        <w:gridCol w:w="1139"/>
        <w:gridCol w:w="1044"/>
        <w:gridCol w:w="949"/>
        <w:gridCol w:w="903"/>
        <w:gridCol w:w="996"/>
        <w:gridCol w:w="855"/>
        <w:gridCol w:w="1424"/>
      </w:tblGrid>
      <w:tr w:rsidR="00DF336E" w:rsidRPr="00067CD9" w:rsidTr="00067CD9">
        <w:trPr>
          <w:trHeight w:val="1310"/>
        </w:trPr>
        <w:tc>
          <w:tcPr>
            <w:tcW w:w="1129" w:type="dxa"/>
          </w:tcPr>
          <w:p w:rsidR="00DF336E" w:rsidRPr="00067CD9" w:rsidRDefault="00DF336E" w:rsidP="00067CD9">
            <w:pPr>
              <w:tabs>
                <w:tab w:val="left" w:pos="1605"/>
              </w:tabs>
              <w:spacing w:after="0"/>
              <w:rPr>
                <w:rFonts w:ascii="Times New Roman" w:hAnsi="Times New Roman" w:cs="Times New Roman"/>
                <w:sz w:val="20"/>
                <w:szCs w:val="20"/>
              </w:rPr>
            </w:pPr>
            <w:r w:rsidRPr="00067CD9">
              <w:rPr>
                <w:rFonts w:ascii="Times New Roman" w:hAnsi="Times New Roman" w:cs="Times New Roman"/>
                <w:sz w:val="20"/>
                <w:szCs w:val="20"/>
              </w:rPr>
              <w:t>Fonun Unvanı</w:t>
            </w:r>
          </w:p>
        </w:tc>
        <w:tc>
          <w:tcPr>
            <w:tcW w:w="1128" w:type="dxa"/>
          </w:tcPr>
          <w:p w:rsidR="00DF336E" w:rsidRPr="00067CD9" w:rsidRDefault="00DF336E" w:rsidP="00067CD9">
            <w:pPr>
              <w:tabs>
                <w:tab w:val="left" w:pos="1605"/>
              </w:tabs>
              <w:spacing w:after="0"/>
              <w:rPr>
                <w:rFonts w:ascii="Times New Roman" w:hAnsi="Times New Roman" w:cs="Times New Roman"/>
                <w:sz w:val="20"/>
                <w:szCs w:val="20"/>
              </w:rPr>
            </w:pPr>
            <w:r w:rsidRPr="00067CD9">
              <w:rPr>
                <w:rFonts w:ascii="Times New Roman" w:hAnsi="Times New Roman" w:cs="Times New Roman"/>
                <w:sz w:val="20"/>
                <w:szCs w:val="20"/>
              </w:rPr>
              <w:t>Fon İçtüzüğünde Yer Alan Yönetim Ücreti Oranı (Günlük)</w:t>
            </w:r>
          </w:p>
        </w:tc>
        <w:tc>
          <w:tcPr>
            <w:tcW w:w="1139" w:type="dxa"/>
          </w:tcPr>
          <w:p w:rsidR="00DF336E" w:rsidRPr="00067CD9" w:rsidRDefault="00DF336E" w:rsidP="00067CD9">
            <w:pPr>
              <w:tabs>
                <w:tab w:val="left" w:pos="1605"/>
              </w:tabs>
              <w:spacing w:after="0"/>
              <w:rPr>
                <w:rFonts w:ascii="Times New Roman" w:hAnsi="Times New Roman" w:cs="Times New Roman"/>
                <w:sz w:val="20"/>
                <w:szCs w:val="20"/>
              </w:rPr>
            </w:pPr>
            <w:r w:rsidRPr="00067CD9">
              <w:rPr>
                <w:rFonts w:ascii="Times New Roman" w:hAnsi="Times New Roman" w:cs="Times New Roman"/>
                <w:sz w:val="20"/>
                <w:szCs w:val="20"/>
              </w:rPr>
              <w:t>Fon İçtüzüğünde Yer Alan Yönetim Ücreti Oranı (Yıllık)</w:t>
            </w:r>
          </w:p>
        </w:tc>
        <w:tc>
          <w:tcPr>
            <w:tcW w:w="1044" w:type="dxa"/>
          </w:tcPr>
          <w:p w:rsidR="00DF336E" w:rsidRPr="00067CD9" w:rsidRDefault="00DF336E" w:rsidP="00067CD9">
            <w:pPr>
              <w:tabs>
                <w:tab w:val="left" w:pos="1605"/>
              </w:tabs>
              <w:spacing w:after="0"/>
              <w:rPr>
                <w:rFonts w:ascii="Times New Roman" w:hAnsi="Times New Roman" w:cs="Times New Roman"/>
                <w:sz w:val="20"/>
                <w:szCs w:val="20"/>
              </w:rPr>
            </w:pPr>
            <w:r w:rsidRPr="00067CD9">
              <w:rPr>
                <w:rFonts w:ascii="Times New Roman" w:hAnsi="Times New Roman" w:cs="Times New Roman"/>
                <w:sz w:val="20"/>
                <w:szCs w:val="20"/>
              </w:rPr>
              <w:t>Uygulanan Yönetim Ücreti (Günlük)</w:t>
            </w:r>
          </w:p>
        </w:tc>
        <w:tc>
          <w:tcPr>
            <w:tcW w:w="949" w:type="dxa"/>
          </w:tcPr>
          <w:p w:rsidR="00DF336E" w:rsidRPr="00067CD9" w:rsidRDefault="00DF336E" w:rsidP="00067CD9">
            <w:pPr>
              <w:tabs>
                <w:tab w:val="left" w:pos="1605"/>
              </w:tabs>
              <w:spacing w:after="0"/>
              <w:rPr>
                <w:rFonts w:ascii="Times New Roman" w:hAnsi="Times New Roman" w:cs="Times New Roman"/>
                <w:sz w:val="20"/>
                <w:szCs w:val="20"/>
              </w:rPr>
            </w:pPr>
            <w:r w:rsidRPr="00067CD9">
              <w:rPr>
                <w:rFonts w:ascii="Times New Roman" w:hAnsi="Times New Roman" w:cs="Times New Roman"/>
                <w:sz w:val="20"/>
                <w:szCs w:val="20"/>
              </w:rPr>
              <w:t>Uygulanan Yönetim Ücreti (Yıllık)</w:t>
            </w:r>
          </w:p>
        </w:tc>
        <w:tc>
          <w:tcPr>
            <w:tcW w:w="903" w:type="dxa"/>
          </w:tcPr>
          <w:p w:rsidR="00DF336E" w:rsidRPr="00067CD9" w:rsidRDefault="00DF336E" w:rsidP="00067CD9">
            <w:pPr>
              <w:tabs>
                <w:tab w:val="left" w:pos="1605"/>
              </w:tabs>
              <w:spacing w:after="0"/>
              <w:rPr>
                <w:rFonts w:ascii="Times New Roman" w:hAnsi="Times New Roman" w:cs="Times New Roman"/>
                <w:sz w:val="20"/>
                <w:szCs w:val="20"/>
              </w:rPr>
            </w:pPr>
            <w:r w:rsidRPr="00067CD9">
              <w:rPr>
                <w:rFonts w:ascii="Times New Roman" w:hAnsi="Times New Roman" w:cs="Times New Roman"/>
                <w:sz w:val="20"/>
                <w:szCs w:val="20"/>
              </w:rPr>
              <w:t>Giriş Komisyonu</w:t>
            </w:r>
          </w:p>
        </w:tc>
        <w:tc>
          <w:tcPr>
            <w:tcW w:w="996" w:type="dxa"/>
          </w:tcPr>
          <w:p w:rsidR="00DF336E" w:rsidRPr="00067CD9" w:rsidRDefault="00DF336E" w:rsidP="00067CD9">
            <w:pPr>
              <w:tabs>
                <w:tab w:val="left" w:pos="1605"/>
              </w:tabs>
              <w:spacing w:after="0"/>
              <w:rPr>
                <w:rFonts w:ascii="Times New Roman" w:hAnsi="Times New Roman" w:cs="Times New Roman"/>
                <w:sz w:val="20"/>
                <w:szCs w:val="20"/>
              </w:rPr>
            </w:pPr>
            <w:r w:rsidRPr="00067CD9">
              <w:rPr>
                <w:rFonts w:ascii="Times New Roman" w:hAnsi="Times New Roman" w:cs="Times New Roman"/>
                <w:sz w:val="20"/>
                <w:szCs w:val="20"/>
              </w:rPr>
              <w:t>Giriş Komisyonu Alınmasına İlişkin Açıklama</w:t>
            </w:r>
          </w:p>
        </w:tc>
        <w:tc>
          <w:tcPr>
            <w:tcW w:w="855" w:type="dxa"/>
          </w:tcPr>
          <w:p w:rsidR="00DF336E" w:rsidRPr="00067CD9" w:rsidRDefault="00DF336E" w:rsidP="00067CD9">
            <w:pPr>
              <w:tabs>
                <w:tab w:val="left" w:pos="1605"/>
              </w:tabs>
              <w:spacing w:after="0"/>
              <w:rPr>
                <w:rFonts w:ascii="Times New Roman" w:hAnsi="Times New Roman" w:cs="Times New Roman"/>
                <w:sz w:val="20"/>
                <w:szCs w:val="20"/>
              </w:rPr>
            </w:pPr>
            <w:r w:rsidRPr="00067CD9">
              <w:rPr>
                <w:rFonts w:ascii="Times New Roman" w:hAnsi="Times New Roman" w:cs="Times New Roman"/>
                <w:sz w:val="20"/>
                <w:szCs w:val="20"/>
              </w:rPr>
              <w:t>Çıkış Komisyonu</w:t>
            </w:r>
          </w:p>
        </w:tc>
        <w:tc>
          <w:tcPr>
            <w:tcW w:w="1424" w:type="dxa"/>
          </w:tcPr>
          <w:p w:rsidR="00DF336E" w:rsidRPr="00067CD9" w:rsidRDefault="00DF336E" w:rsidP="00067CD9">
            <w:pPr>
              <w:tabs>
                <w:tab w:val="left" w:pos="1605"/>
              </w:tabs>
              <w:spacing w:after="0"/>
              <w:rPr>
                <w:rFonts w:ascii="Times New Roman" w:hAnsi="Times New Roman" w:cs="Times New Roman"/>
                <w:sz w:val="20"/>
                <w:szCs w:val="20"/>
              </w:rPr>
            </w:pPr>
            <w:r w:rsidRPr="00067CD9">
              <w:rPr>
                <w:rFonts w:ascii="Times New Roman" w:hAnsi="Times New Roman" w:cs="Times New Roman"/>
                <w:sz w:val="20"/>
                <w:szCs w:val="20"/>
              </w:rPr>
              <w:t>Çıkış Komisyonu Alınmasına İlişkin Açıklama</w:t>
            </w:r>
          </w:p>
        </w:tc>
      </w:tr>
      <w:tr w:rsidR="00DF336E" w:rsidRPr="00067CD9" w:rsidTr="00067CD9">
        <w:trPr>
          <w:trHeight w:val="517"/>
        </w:trPr>
        <w:tc>
          <w:tcPr>
            <w:tcW w:w="1129" w:type="dxa"/>
          </w:tcPr>
          <w:p w:rsidR="00DF336E" w:rsidRPr="00067CD9" w:rsidRDefault="00DF336E" w:rsidP="00067CD9">
            <w:pPr>
              <w:tabs>
                <w:tab w:val="left" w:pos="1605"/>
              </w:tabs>
              <w:spacing w:after="0"/>
              <w:rPr>
                <w:rFonts w:ascii="Times New Roman" w:hAnsi="Times New Roman" w:cs="Times New Roman"/>
                <w:sz w:val="20"/>
                <w:szCs w:val="20"/>
              </w:rPr>
            </w:pPr>
            <w:r w:rsidRPr="00067CD9">
              <w:rPr>
                <w:rFonts w:ascii="Times New Roman" w:hAnsi="Times New Roman" w:cs="Times New Roman"/>
                <w:sz w:val="20"/>
                <w:szCs w:val="20"/>
              </w:rPr>
              <w:t>ABC</w:t>
            </w:r>
            <w:r w:rsidR="00067CD9" w:rsidRPr="00067CD9">
              <w:rPr>
                <w:rFonts w:ascii="Times New Roman" w:hAnsi="Times New Roman" w:cs="Times New Roman"/>
                <w:sz w:val="20"/>
                <w:szCs w:val="20"/>
              </w:rPr>
              <w:t xml:space="preserve"> PYŞ</w:t>
            </w:r>
            <w:r w:rsidR="007814BB">
              <w:rPr>
                <w:rFonts w:ascii="Times New Roman" w:hAnsi="Times New Roman" w:cs="Times New Roman"/>
                <w:sz w:val="20"/>
                <w:szCs w:val="20"/>
              </w:rPr>
              <w:t xml:space="preserve"> </w:t>
            </w:r>
            <w:r w:rsidRPr="00067CD9">
              <w:rPr>
                <w:rFonts w:ascii="Times New Roman" w:hAnsi="Times New Roman" w:cs="Times New Roman"/>
                <w:sz w:val="20"/>
                <w:szCs w:val="20"/>
              </w:rPr>
              <w:t>Likit Fon</w:t>
            </w:r>
            <w:r w:rsidR="00067CD9" w:rsidRPr="00067CD9">
              <w:rPr>
                <w:rFonts w:ascii="Times New Roman" w:hAnsi="Times New Roman" w:cs="Times New Roman"/>
                <w:sz w:val="20"/>
                <w:szCs w:val="20"/>
              </w:rPr>
              <w:t>u</w:t>
            </w:r>
          </w:p>
        </w:tc>
        <w:tc>
          <w:tcPr>
            <w:tcW w:w="1128" w:type="dxa"/>
          </w:tcPr>
          <w:p w:rsidR="00DF336E" w:rsidRPr="00067CD9" w:rsidRDefault="00DF336E" w:rsidP="007814BB">
            <w:pPr>
              <w:tabs>
                <w:tab w:val="left" w:pos="1605"/>
              </w:tabs>
              <w:spacing w:after="0"/>
              <w:rPr>
                <w:rFonts w:ascii="Times New Roman" w:hAnsi="Times New Roman" w:cs="Times New Roman"/>
                <w:sz w:val="20"/>
                <w:szCs w:val="20"/>
              </w:rPr>
            </w:pPr>
            <w:r w:rsidRPr="00067CD9">
              <w:rPr>
                <w:rFonts w:ascii="Times New Roman" w:hAnsi="Times New Roman" w:cs="Times New Roman"/>
                <w:sz w:val="20"/>
                <w:szCs w:val="20"/>
              </w:rPr>
              <w:t xml:space="preserve">a </w:t>
            </w:r>
          </w:p>
        </w:tc>
        <w:tc>
          <w:tcPr>
            <w:tcW w:w="1139" w:type="dxa"/>
          </w:tcPr>
          <w:p w:rsidR="00DF336E" w:rsidRPr="00067CD9" w:rsidRDefault="00067CD9" w:rsidP="00067CD9">
            <w:pPr>
              <w:tabs>
                <w:tab w:val="left" w:pos="1605"/>
              </w:tabs>
              <w:spacing w:after="0"/>
              <w:rPr>
                <w:rFonts w:ascii="Times New Roman" w:hAnsi="Times New Roman" w:cs="Times New Roman"/>
                <w:sz w:val="20"/>
                <w:szCs w:val="20"/>
              </w:rPr>
            </w:pPr>
            <w:r>
              <w:rPr>
                <w:rFonts w:ascii="Times New Roman" w:hAnsi="Times New Roman" w:cs="Times New Roman"/>
                <w:sz w:val="20"/>
                <w:szCs w:val="20"/>
              </w:rPr>
              <w:t>b</w:t>
            </w:r>
            <w:r w:rsidR="00DF336E" w:rsidRPr="00067CD9">
              <w:rPr>
                <w:rFonts w:ascii="Times New Roman" w:hAnsi="Times New Roman" w:cs="Times New Roman"/>
                <w:sz w:val="20"/>
                <w:szCs w:val="20"/>
              </w:rPr>
              <w:t>= a*365</w:t>
            </w:r>
          </w:p>
          <w:p w:rsidR="00DF336E" w:rsidRPr="00067CD9" w:rsidRDefault="00DF336E" w:rsidP="00067CD9">
            <w:pPr>
              <w:tabs>
                <w:tab w:val="left" w:pos="1605"/>
              </w:tabs>
              <w:spacing w:after="0"/>
              <w:rPr>
                <w:rFonts w:ascii="Times New Roman" w:hAnsi="Times New Roman" w:cs="Times New Roman"/>
                <w:sz w:val="20"/>
                <w:szCs w:val="20"/>
              </w:rPr>
            </w:pPr>
          </w:p>
        </w:tc>
        <w:tc>
          <w:tcPr>
            <w:tcW w:w="1044" w:type="dxa"/>
          </w:tcPr>
          <w:p w:rsidR="00DF336E" w:rsidRPr="00067CD9" w:rsidRDefault="00DF336E" w:rsidP="007814BB">
            <w:pPr>
              <w:tabs>
                <w:tab w:val="left" w:pos="1605"/>
              </w:tabs>
              <w:spacing w:after="0"/>
              <w:rPr>
                <w:rFonts w:ascii="Times New Roman" w:hAnsi="Times New Roman" w:cs="Times New Roman"/>
                <w:sz w:val="20"/>
                <w:szCs w:val="20"/>
              </w:rPr>
            </w:pPr>
            <w:r w:rsidRPr="00067CD9">
              <w:rPr>
                <w:rFonts w:ascii="Times New Roman" w:hAnsi="Times New Roman" w:cs="Times New Roman"/>
                <w:sz w:val="20"/>
                <w:szCs w:val="20"/>
              </w:rPr>
              <w:t xml:space="preserve">c </w:t>
            </w:r>
          </w:p>
        </w:tc>
        <w:tc>
          <w:tcPr>
            <w:tcW w:w="949" w:type="dxa"/>
          </w:tcPr>
          <w:p w:rsidR="00DF336E" w:rsidRPr="00067CD9" w:rsidRDefault="00DF336E" w:rsidP="00067CD9">
            <w:pPr>
              <w:tabs>
                <w:tab w:val="left" w:pos="1605"/>
              </w:tabs>
              <w:spacing w:after="0"/>
              <w:rPr>
                <w:rFonts w:ascii="Times New Roman" w:hAnsi="Times New Roman" w:cs="Times New Roman"/>
                <w:sz w:val="20"/>
                <w:szCs w:val="20"/>
              </w:rPr>
            </w:pPr>
            <w:r w:rsidRPr="00067CD9">
              <w:rPr>
                <w:rFonts w:ascii="Times New Roman" w:hAnsi="Times New Roman" w:cs="Times New Roman"/>
                <w:sz w:val="20"/>
                <w:szCs w:val="20"/>
              </w:rPr>
              <w:t>d=c*365</w:t>
            </w:r>
          </w:p>
          <w:p w:rsidR="00DF336E" w:rsidRPr="00067CD9" w:rsidRDefault="00DF336E" w:rsidP="00067CD9">
            <w:pPr>
              <w:tabs>
                <w:tab w:val="left" w:pos="1605"/>
              </w:tabs>
              <w:spacing w:after="0"/>
              <w:rPr>
                <w:rFonts w:ascii="Times New Roman" w:hAnsi="Times New Roman" w:cs="Times New Roman"/>
                <w:sz w:val="20"/>
                <w:szCs w:val="20"/>
              </w:rPr>
            </w:pPr>
          </w:p>
        </w:tc>
        <w:tc>
          <w:tcPr>
            <w:tcW w:w="903" w:type="dxa"/>
          </w:tcPr>
          <w:p w:rsidR="00DF336E" w:rsidRPr="00067CD9" w:rsidRDefault="00DF336E" w:rsidP="00067CD9">
            <w:pPr>
              <w:tabs>
                <w:tab w:val="left" w:pos="1605"/>
              </w:tabs>
              <w:spacing w:after="0"/>
              <w:rPr>
                <w:rFonts w:ascii="Times New Roman" w:hAnsi="Times New Roman" w:cs="Times New Roman"/>
                <w:sz w:val="20"/>
                <w:szCs w:val="20"/>
              </w:rPr>
            </w:pPr>
            <w:r w:rsidRPr="00067CD9">
              <w:rPr>
                <w:rFonts w:ascii="Times New Roman" w:hAnsi="Times New Roman" w:cs="Times New Roman"/>
                <w:sz w:val="20"/>
                <w:szCs w:val="20"/>
              </w:rPr>
              <w:t>-</w:t>
            </w:r>
          </w:p>
        </w:tc>
        <w:tc>
          <w:tcPr>
            <w:tcW w:w="996" w:type="dxa"/>
          </w:tcPr>
          <w:p w:rsidR="00DF336E" w:rsidRPr="00067CD9" w:rsidRDefault="00DF336E" w:rsidP="00067CD9">
            <w:pPr>
              <w:tabs>
                <w:tab w:val="left" w:pos="1605"/>
              </w:tabs>
              <w:spacing w:after="0"/>
              <w:rPr>
                <w:rFonts w:ascii="Times New Roman" w:hAnsi="Times New Roman" w:cs="Times New Roman"/>
                <w:sz w:val="20"/>
                <w:szCs w:val="20"/>
              </w:rPr>
            </w:pPr>
            <w:r w:rsidRPr="00067CD9">
              <w:rPr>
                <w:rFonts w:ascii="Times New Roman" w:hAnsi="Times New Roman" w:cs="Times New Roman"/>
                <w:sz w:val="20"/>
                <w:szCs w:val="20"/>
              </w:rPr>
              <w:t>-</w:t>
            </w:r>
          </w:p>
        </w:tc>
        <w:tc>
          <w:tcPr>
            <w:tcW w:w="855" w:type="dxa"/>
          </w:tcPr>
          <w:p w:rsidR="00DF336E" w:rsidRPr="00067CD9" w:rsidRDefault="00DF336E" w:rsidP="00067CD9">
            <w:pPr>
              <w:tabs>
                <w:tab w:val="left" w:pos="1605"/>
              </w:tabs>
              <w:spacing w:after="0"/>
              <w:rPr>
                <w:rFonts w:ascii="Times New Roman" w:hAnsi="Times New Roman" w:cs="Times New Roman"/>
                <w:sz w:val="20"/>
                <w:szCs w:val="20"/>
              </w:rPr>
            </w:pPr>
            <w:r w:rsidRPr="00067CD9">
              <w:rPr>
                <w:rFonts w:ascii="Times New Roman" w:hAnsi="Times New Roman" w:cs="Times New Roman"/>
                <w:sz w:val="20"/>
                <w:szCs w:val="20"/>
              </w:rPr>
              <w:t>-</w:t>
            </w:r>
          </w:p>
        </w:tc>
        <w:tc>
          <w:tcPr>
            <w:tcW w:w="1424" w:type="dxa"/>
          </w:tcPr>
          <w:p w:rsidR="00DF336E" w:rsidRPr="00067CD9" w:rsidRDefault="00DF336E" w:rsidP="00067CD9">
            <w:pPr>
              <w:tabs>
                <w:tab w:val="left" w:pos="1605"/>
              </w:tabs>
              <w:spacing w:after="0"/>
              <w:rPr>
                <w:rFonts w:ascii="Times New Roman" w:hAnsi="Times New Roman" w:cs="Times New Roman"/>
                <w:sz w:val="20"/>
                <w:szCs w:val="20"/>
              </w:rPr>
            </w:pPr>
            <w:r w:rsidRPr="00067CD9">
              <w:rPr>
                <w:rFonts w:ascii="Times New Roman" w:hAnsi="Times New Roman" w:cs="Times New Roman"/>
                <w:sz w:val="20"/>
                <w:szCs w:val="20"/>
              </w:rPr>
              <w:t>-</w:t>
            </w:r>
          </w:p>
        </w:tc>
      </w:tr>
      <w:tr w:rsidR="00DF336E" w:rsidRPr="00067CD9" w:rsidTr="00067CD9">
        <w:trPr>
          <w:trHeight w:val="1844"/>
        </w:trPr>
        <w:tc>
          <w:tcPr>
            <w:tcW w:w="1129" w:type="dxa"/>
          </w:tcPr>
          <w:p w:rsidR="00DF336E" w:rsidRPr="00067CD9" w:rsidRDefault="00DF336E" w:rsidP="00067CD9">
            <w:pPr>
              <w:tabs>
                <w:tab w:val="left" w:pos="1605"/>
              </w:tabs>
              <w:spacing w:after="0"/>
              <w:rPr>
                <w:rFonts w:ascii="Times New Roman" w:hAnsi="Times New Roman" w:cs="Times New Roman"/>
                <w:sz w:val="20"/>
                <w:szCs w:val="20"/>
              </w:rPr>
            </w:pPr>
            <w:r w:rsidRPr="00067CD9">
              <w:rPr>
                <w:rFonts w:ascii="Times New Roman" w:hAnsi="Times New Roman" w:cs="Times New Roman"/>
                <w:sz w:val="20"/>
                <w:szCs w:val="20"/>
              </w:rPr>
              <w:t>ABC</w:t>
            </w:r>
            <w:r w:rsidR="00067CD9" w:rsidRPr="00067CD9">
              <w:rPr>
                <w:rFonts w:ascii="Times New Roman" w:hAnsi="Times New Roman" w:cs="Times New Roman"/>
                <w:sz w:val="20"/>
                <w:szCs w:val="20"/>
              </w:rPr>
              <w:t xml:space="preserve"> PYŞ</w:t>
            </w:r>
            <w:r w:rsidR="007814BB">
              <w:rPr>
                <w:rFonts w:ascii="Times New Roman" w:hAnsi="Times New Roman" w:cs="Times New Roman"/>
                <w:sz w:val="20"/>
                <w:szCs w:val="20"/>
              </w:rPr>
              <w:t xml:space="preserve"> </w:t>
            </w:r>
            <w:r w:rsidRPr="00067CD9">
              <w:rPr>
                <w:rFonts w:ascii="Times New Roman" w:hAnsi="Times New Roman" w:cs="Times New Roman"/>
                <w:sz w:val="20"/>
                <w:szCs w:val="20"/>
              </w:rPr>
              <w:t>Değişken Fonu</w:t>
            </w:r>
          </w:p>
        </w:tc>
        <w:tc>
          <w:tcPr>
            <w:tcW w:w="1128" w:type="dxa"/>
          </w:tcPr>
          <w:p w:rsidR="00DF336E" w:rsidRPr="00067CD9" w:rsidRDefault="00DF336E" w:rsidP="007814BB">
            <w:pPr>
              <w:tabs>
                <w:tab w:val="left" w:pos="1605"/>
              </w:tabs>
              <w:spacing w:after="0"/>
              <w:rPr>
                <w:rFonts w:ascii="Times New Roman" w:hAnsi="Times New Roman" w:cs="Times New Roman"/>
                <w:sz w:val="20"/>
                <w:szCs w:val="20"/>
              </w:rPr>
            </w:pPr>
            <w:r w:rsidRPr="00067CD9">
              <w:rPr>
                <w:rFonts w:ascii="Times New Roman" w:hAnsi="Times New Roman" w:cs="Times New Roman"/>
                <w:sz w:val="20"/>
                <w:szCs w:val="20"/>
              </w:rPr>
              <w:t xml:space="preserve">a </w:t>
            </w:r>
          </w:p>
        </w:tc>
        <w:tc>
          <w:tcPr>
            <w:tcW w:w="1139" w:type="dxa"/>
          </w:tcPr>
          <w:p w:rsidR="00DF336E" w:rsidRPr="00067CD9" w:rsidRDefault="00DF336E" w:rsidP="00067CD9">
            <w:pPr>
              <w:tabs>
                <w:tab w:val="left" w:pos="1605"/>
              </w:tabs>
              <w:spacing w:after="0"/>
              <w:rPr>
                <w:rFonts w:ascii="Times New Roman" w:hAnsi="Times New Roman" w:cs="Times New Roman"/>
                <w:sz w:val="20"/>
                <w:szCs w:val="20"/>
              </w:rPr>
            </w:pPr>
            <w:r w:rsidRPr="00067CD9">
              <w:rPr>
                <w:rFonts w:ascii="Times New Roman" w:hAnsi="Times New Roman" w:cs="Times New Roman"/>
                <w:sz w:val="20"/>
                <w:szCs w:val="20"/>
              </w:rPr>
              <w:t>b= a*365</w:t>
            </w:r>
          </w:p>
          <w:p w:rsidR="00DF336E" w:rsidRPr="00067CD9" w:rsidRDefault="00DF336E" w:rsidP="00067CD9">
            <w:pPr>
              <w:tabs>
                <w:tab w:val="left" w:pos="1605"/>
              </w:tabs>
              <w:spacing w:after="0"/>
              <w:rPr>
                <w:rFonts w:ascii="Times New Roman" w:hAnsi="Times New Roman" w:cs="Times New Roman"/>
                <w:sz w:val="20"/>
                <w:szCs w:val="20"/>
              </w:rPr>
            </w:pPr>
          </w:p>
        </w:tc>
        <w:tc>
          <w:tcPr>
            <w:tcW w:w="1044" w:type="dxa"/>
          </w:tcPr>
          <w:p w:rsidR="00DF336E" w:rsidRPr="00067CD9" w:rsidRDefault="00DF336E" w:rsidP="007814BB">
            <w:pPr>
              <w:tabs>
                <w:tab w:val="left" w:pos="1605"/>
              </w:tabs>
              <w:spacing w:after="0"/>
              <w:rPr>
                <w:rFonts w:ascii="Times New Roman" w:hAnsi="Times New Roman" w:cs="Times New Roman"/>
                <w:sz w:val="20"/>
                <w:szCs w:val="20"/>
              </w:rPr>
            </w:pPr>
            <w:r w:rsidRPr="00067CD9">
              <w:rPr>
                <w:rFonts w:ascii="Times New Roman" w:hAnsi="Times New Roman" w:cs="Times New Roman"/>
                <w:sz w:val="20"/>
                <w:szCs w:val="20"/>
              </w:rPr>
              <w:t xml:space="preserve">c </w:t>
            </w:r>
          </w:p>
        </w:tc>
        <w:tc>
          <w:tcPr>
            <w:tcW w:w="949" w:type="dxa"/>
          </w:tcPr>
          <w:p w:rsidR="00DF336E" w:rsidRPr="00067CD9" w:rsidRDefault="00DF336E" w:rsidP="00067CD9">
            <w:pPr>
              <w:tabs>
                <w:tab w:val="left" w:pos="1605"/>
              </w:tabs>
              <w:spacing w:after="0"/>
              <w:rPr>
                <w:rFonts w:ascii="Times New Roman" w:hAnsi="Times New Roman" w:cs="Times New Roman"/>
                <w:sz w:val="20"/>
                <w:szCs w:val="20"/>
              </w:rPr>
            </w:pPr>
            <w:r w:rsidRPr="00067CD9">
              <w:rPr>
                <w:rFonts w:ascii="Times New Roman" w:hAnsi="Times New Roman" w:cs="Times New Roman"/>
                <w:sz w:val="20"/>
                <w:szCs w:val="20"/>
              </w:rPr>
              <w:t>d= c*365</w:t>
            </w:r>
          </w:p>
          <w:p w:rsidR="00DF336E" w:rsidRPr="00067CD9" w:rsidRDefault="00DF336E" w:rsidP="00067CD9">
            <w:pPr>
              <w:tabs>
                <w:tab w:val="left" w:pos="1605"/>
              </w:tabs>
              <w:spacing w:after="0"/>
              <w:rPr>
                <w:rFonts w:ascii="Times New Roman" w:hAnsi="Times New Roman" w:cs="Times New Roman"/>
                <w:sz w:val="20"/>
                <w:szCs w:val="20"/>
              </w:rPr>
            </w:pPr>
          </w:p>
        </w:tc>
        <w:tc>
          <w:tcPr>
            <w:tcW w:w="903" w:type="dxa"/>
          </w:tcPr>
          <w:p w:rsidR="00DF336E" w:rsidRPr="00067CD9" w:rsidRDefault="00DF336E" w:rsidP="00067CD9">
            <w:pPr>
              <w:tabs>
                <w:tab w:val="left" w:pos="1605"/>
              </w:tabs>
              <w:spacing w:after="0"/>
              <w:rPr>
                <w:rFonts w:ascii="Times New Roman" w:hAnsi="Times New Roman" w:cs="Times New Roman"/>
                <w:sz w:val="20"/>
                <w:szCs w:val="20"/>
              </w:rPr>
            </w:pPr>
            <w:r w:rsidRPr="00067CD9">
              <w:rPr>
                <w:rFonts w:ascii="Times New Roman" w:hAnsi="Times New Roman" w:cs="Times New Roman"/>
                <w:sz w:val="20"/>
                <w:szCs w:val="20"/>
              </w:rPr>
              <w:t>-</w:t>
            </w:r>
          </w:p>
        </w:tc>
        <w:tc>
          <w:tcPr>
            <w:tcW w:w="996" w:type="dxa"/>
          </w:tcPr>
          <w:p w:rsidR="00DF336E" w:rsidRPr="00067CD9" w:rsidRDefault="00DF336E" w:rsidP="00067CD9">
            <w:pPr>
              <w:tabs>
                <w:tab w:val="left" w:pos="1605"/>
              </w:tabs>
              <w:spacing w:after="0"/>
              <w:rPr>
                <w:rFonts w:ascii="Times New Roman" w:hAnsi="Times New Roman" w:cs="Times New Roman"/>
                <w:sz w:val="20"/>
                <w:szCs w:val="20"/>
              </w:rPr>
            </w:pPr>
            <w:r w:rsidRPr="00067CD9">
              <w:rPr>
                <w:rFonts w:ascii="Times New Roman" w:hAnsi="Times New Roman" w:cs="Times New Roman"/>
                <w:sz w:val="20"/>
                <w:szCs w:val="20"/>
              </w:rPr>
              <w:t>-</w:t>
            </w:r>
          </w:p>
        </w:tc>
        <w:tc>
          <w:tcPr>
            <w:tcW w:w="855" w:type="dxa"/>
          </w:tcPr>
          <w:p w:rsidR="00DF336E" w:rsidRPr="00067CD9" w:rsidRDefault="00DF336E" w:rsidP="00067CD9">
            <w:pPr>
              <w:tabs>
                <w:tab w:val="left" w:pos="1605"/>
              </w:tabs>
              <w:spacing w:after="0"/>
              <w:rPr>
                <w:rFonts w:ascii="Times New Roman" w:hAnsi="Times New Roman" w:cs="Times New Roman"/>
                <w:sz w:val="20"/>
                <w:szCs w:val="20"/>
              </w:rPr>
            </w:pPr>
            <w:r w:rsidRPr="00067CD9">
              <w:rPr>
                <w:rFonts w:ascii="Times New Roman" w:hAnsi="Times New Roman" w:cs="Times New Roman"/>
                <w:sz w:val="20"/>
                <w:szCs w:val="20"/>
              </w:rPr>
              <w:t>%2</w:t>
            </w:r>
            <w:r w:rsidR="007814BB">
              <w:rPr>
                <w:rFonts w:ascii="Times New Roman" w:hAnsi="Times New Roman" w:cs="Times New Roman"/>
                <w:sz w:val="20"/>
                <w:szCs w:val="20"/>
              </w:rPr>
              <w:t xml:space="preserve"> </w:t>
            </w:r>
            <w:r w:rsidR="007814BB" w:rsidRPr="007814BB">
              <w:rPr>
                <w:rFonts w:ascii="Times New Roman" w:hAnsi="Times New Roman" w:cs="Times New Roman"/>
                <w:i/>
                <w:sz w:val="20"/>
                <w:szCs w:val="20"/>
              </w:rPr>
              <w:t>(örnek amaçlı verilmiştir)</w:t>
            </w:r>
          </w:p>
        </w:tc>
        <w:tc>
          <w:tcPr>
            <w:tcW w:w="1424" w:type="dxa"/>
          </w:tcPr>
          <w:p w:rsidR="00DF336E" w:rsidRDefault="00DF336E" w:rsidP="00067CD9">
            <w:pPr>
              <w:tabs>
                <w:tab w:val="left" w:pos="1605"/>
              </w:tabs>
              <w:spacing w:after="0"/>
              <w:rPr>
                <w:rFonts w:ascii="Times New Roman" w:hAnsi="Times New Roman" w:cs="Times New Roman"/>
                <w:sz w:val="20"/>
                <w:szCs w:val="20"/>
              </w:rPr>
            </w:pPr>
            <w:r w:rsidRPr="00067CD9">
              <w:rPr>
                <w:rFonts w:ascii="Times New Roman" w:hAnsi="Times New Roman" w:cs="Times New Roman"/>
                <w:sz w:val="20"/>
                <w:szCs w:val="20"/>
              </w:rPr>
              <w:t>Fon paylarının 90 günden önce iade edilmesi halinde, iade edilen payların cari değeri üzerinden %2 çıkış komisyonu tahsil edilir.</w:t>
            </w:r>
          </w:p>
          <w:p w:rsidR="007814BB" w:rsidRPr="00067CD9" w:rsidRDefault="007814BB" w:rsidP="00067CD9">
            <w:pPr>
              <w:tabs>
                <w:tab w:val="left" w:pos="1605"/>
              </w:tabs>
              <w:spacing w:after="0"/>
              <w:rPr>
                <w:rFonts w:ascii="Times New Roman" w:hAnsi="Times New Roman" w:cs="Times New Roman"/>
                <w:sz w:val="20"/>
                <w:szCs w:val="20"/>
              </w:rPr>
            </w:pPr>
            <w:r w:rsidRPr="007814BB">
              <w:rPr>
                <w:rFonts w:ascii="Times New Roman" w:hAnsi="Times New Roman" w:cs="Times New Roman"/>
                <w:i/>
                <w:sz w:val="20"/>
                <w:szCs w:val="20"/>
              </w:rPr>
              <w:t>(örnek amaçlı verilmiştir)</w:t>
            </w:r>
          </w:p>
        </w:tc>
      </w:tr>
    </w:tbl>
    <w:p w:rsidR="00DF336E" w:rsidRDefault="00DF336E" w:rsidP="00DF336E">
      <w:pPr>
        <w:jc w:val="both"/>
        <w:rPr>
          <w:rFonts w:ascii="Times New Roman" w:hAnsi="Times New Roman" w:cs="Times New Roman"/>
          <w:b/>
          <w:sz w:val="24"/>
          <w:szCs w:val="24"/>
          <w:lang w:eastAsia="tr-TR"/>
        </w:rPr>
      </w:pPr>
    </w:p>
    <w:p w:rsidR="00724A02" w:rsidRDefault="00724A02" w:rsidP="00DF336E">
      <w:pPr>
        <w:jc w:val="both"/>
        <w:rPr>
          <w:rFonts w:ascii="Times New Roman" w:hAnsi="Times New Roman" w:cs="Times New Roman"/>
          <w:b/>
          <w:sz w:val="24"/>
          <w:szCs w:val="24"/>
          <w:lang w:eastAsia="tr-TR"/>
        </w:rPr>
      </w:pPr>
    </w:p>
    <w:p w:rsidR="00724A02" w:rsidRDefault="00724A02" w:rsidP="00DF336E">
      <w:pPr>
        <w:jc w:val="both"/>
        <w:rPr>
          <w:rFonts w:ascii="Times New Roman" w:hAnsi="Times New Roman" w:cs="Times New Roman"/>
          <w:b/>
          <w:sz w:val="24"/>
          <w:szCs w:val="24"/>
          <w:lang w:eastAsia="tr-TR"/>
        </w:rPr>
      </w:pPr>
    </w:p>
    <w:p w:rsidR="00724A02" w:rsidRPr="00DF336E" w:rsidRDefault="00724A02" w:rsidP="00480154">
      <w:pPr>
        <w:jc w:val="both"/>
        <w:rPr>
          <w:rFonts w:ascii="Times New Roman" w:hAnsi="Times New Roman" w:cs="Times New Roman"/>
          <w:b/>
          <w:sz w:val="24"/>
          <w:szCs w:val="24"/>
          <w:lang w:eastAsia="tr-TR"/>
        </w:rPr>
      </w:pPr>
    </w:p>
    <w:sectPr w:rsidR="00724A02" w:rsidRPr="00DF336E" w:rsidSect="00B9383D">
      <w:footerReference w:type="default" r:id="rId8"/>
      <w:pgSz w:w="11906" w:h="16838"/>
      <w:pgMar w:top="1417" w:right="1133" w:bottom="1135"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849" w:rsidRDefault="00907849" w:rsidP="00A571A0">
      <w:pPr>
        <w:spacing w:after="0" w:line="240" w:lineRule="auto"/>
      </w:pPr>
      <w:r>
        <w:separator/>
      </w:r>
    </w:p>
  </w:endnote>
  <w:endnote w:type="continuationSeparator" w:id="0">
    <w:p w:rsidR="00907849" w:rsidRDefault="00907849" w:rsidP="00A57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Schoolbook">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MT">
    <w:panose1 w:val="00000000000000000000"/>
    <w:charset w:val="A2"/>
    <w:family w:val="auto"/>
    <w:notTrueType/>
    <w:pitch w:val="default"/>
    <w:sig w:usb0="00000005" w:usb1="00000000" w:usb2="00000000" w:usb3="00000000" w:csb0="00000010" w:csb1="00000000"/>
  </w:font>
  <w:font w:name="CenturySchoolbook-Bold">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8314763"/>
      <w:docPartObj>
        <w:docPartGallery w:val="Page Numbers (Bottom of Page)"/>
        <w:docPartUnique/>
      </w:docPartObj>
    </w:sdtPr>
    <w:sdtEndPr/>
    <w:sdtContent>
      <w:p w:rsidR="00BB1D63" w:rsidRDefault="00BB1D63">
        <w:pPr>
          <w:pStyle w:val="Footer"/>
          <w:jc w:val="center"/>
        </w:pPr>
        <w:r>
          <w:fldChar w:fldCharType="begin"/>
        </w:r>
        <w:r>
          <w:instrText>PAGE   \* MERGEFORMAT</w:instrText>
        </w:r>
        <w:r>
          <w:fldChar w:fldCharType="separate"/>
        </w:r>
        <w:r w:rsidR="0056068C">
          <w:rPr>
            <w:noProof/>
          </w:rPr>
          <w:t>2</w:t>
        </w:r>
        <w:r>
          <w:rPr>
            <w:noProof/>
          </w:rPr>
          <w:fldChar w:fldCharType="end"/>
        </w:r>
      </w:p>
    </w:sdtContent>
  </w:sdt>
  <w:p w:rsidR="00BB1D63" w:rsidRDefault="00BB1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849" w:rsidRDefault="00907849" w:rsidP="00A571A0">
      <w:pPr>
        <w:spacing w:after="0" w:line="240" w:lineRule="auto"/>
      </w:pPr>
      <w:r>
        <w:separator/>
      </w:r>
    </w:p>
  </w:footnote>
  <w:footnote w:type="continuationSeparator" w:id="0">
    <w:p w:rsidR="00907849" w:rsidRDefault="00907849" w:rsidP="00A571A0">
      <w:pPr>
        <w:spacing w:after="0" w:line="240" w:lineRule="auto"/>
      </w:pPr>
      <w:r>
        <w:continuationSeparator/>
      </w:r>
    </w:p>
  </w:footnote>
  <w:footnote w:id="1">
    <w:p w:rsidR="00BB1D63" w:rsidRPr="00541C5C" w:rsidRDefault="00BB1D63">
      <w:pPr>
        <w:pStyle w:val="FootnoteText"/>
        <w:rPr>
          <w:lang w:val="tr-TR"/>
        </w:rPr>
      </w:pPr>
      <w:r>
        <w:rPr>
          <w:rStyle w:val="FootnoteReference"/>
        </w:rPr>
        <w:footnoteRef/>
      </w:r>
      <w:r>
        <w:t xml:space="preserve"> </w:t>
      </w:r>
      <w:r>
        <w:rPr>
          <w:lang w:val="tr-TR"/>
        </w:rPr>
        <w:t>Yönetim kontrolü, Kurulun pay alım teklifine ilişkin düzenlemelerde tanımlanmaktadır.</w:t>
      </w:r>
    </w:p>
  </w:footnote>
  <w:footnote w:id="2">
    <w:p w:rsidR="00BB1D63" w:rsidRPr="00084898" w:rsidRDefault="00BB1D63" w:rsidP="00CD47F7">
      <w:pPr>
        <w:pStyle w:val="FootnoteText"/>
        <w:jc w:val="both"/>
        <w:rPr>
          <w:lang w:val="tr-TR"/>
        </w:rPr>
      </w:pPr>
      <w:r>
        <w:rPr>
          <w:rStyle w:val="FootnoteReference"/>
        </w:rPr>
        <w:footnoteRef/>
      </w:r>
      <w:r w:rsidRPr="00084898">
        <w:rPr>
          <w:rFonts w:ascii="Times New Roman" w:hAnsi="Times New Roman" w:cs="Times New Roman"/>
          <w:lang w:val="tr-TR"/>
        </w:rPr>
        <w:t>Kurucu unvanında</w:t>
      </w:r>
      <w:r>
        <w:rPr>
          <w:rFonts w:ascii="Times New Roman" w:hAnsi="Times New Roman" w:cs="Times New Roman"/>
          <w:lang w:val="tr-TR"/>
        </w:rPr>
        <w:t xml:space="preserve"> “X Portföy Yönetimi A.Ş” yerine, “X PYŞ” veya “X Portföy” ifadesinin kullanılması</w:t>
      </w:r>
      <w:r w:rsidRPr="00084898">
        <w:rPr>
          <w:rFonts w:ascii="Times New Roman" w:hAnsi="Times New Roman" w:cs="Times New Roman"/>
          <w:lang w:val="tr-TR"/>
        </w:rPr>
        <w:t xml:space="preserve"> mümkündür.</w:t>
      </w:r>
    </w:p>
  </w:footnote>
  <w:footnote w:id="3">
    <w:p w:rsidR="00BB1D63" w:rsidRPr="00F607D7" w:rsidRDefault="00BB1D63" w:rsidP="00A81A74">
      <w:pPr>
        <w:pStyle w:val="FootnoteText"/>
        <w:jc w:val="both"/>
        <w:rPr>
          <w:rFonts w:ascii="Times New Roman" w:hAnsi="Times New Roman" w:cs="Times New Roman"/>
          <w:lang w:val="tr-TR"/>
        </w:rPr>
      </w:pPr>
      <w:r>
        <w:rPr>
          <w:rStyle w:val="FootnoteReference"/>
        </w:rPr>
        <w:footnoteRef/>
      </w:r>
      <w:r w:rsidRPr="00F607D7">
        <w:rPr>
          <w:rFonts w:ascii="Times New Roman" w:hAnsi="Times New Roman" w:cs="Times New Roman"/>
          <w:lang w:val="tr-TR"/>
        </w:rPr>
        <w:t>Söz konusu hesaplama, Rehber’in (7.5.3.) ve (7.5.4.) nolu bölümlerinde yer alan netleştirme ve riskten korunma esasları uygulanmaksızın, Rehber’in (7.5.2.) nolu</w:t>
      </w:r>
      <w:r>
        <w:rPr>
          <w:rFonts w:ascii="Times New Roman" w:hAnsi="Times New Roman" w:cs="Times New Roman"/>
          <w:lang w:val="tr-TR"/>
        </w:rPr>
        <w:t xml:space="preserve"> </w:t>
      </w:r>
      <w:r w:rsidRPr="00F607D7">
        <w:rPr>
          <w:rFonts w:ascii="Times New Roman" w:hAnsi="Times New Roman" w:cs="Times New Roman"/>
          <w:lang w:val="tr-TR"/>
        </w:rPr>
        <w:t xml:space="preserve">bölümününde yer alan esaslar ve örnekler çerçevesinde yapılır. </w:t>
      </w:r>
    </w:p>
  </w:footnote>
  <w:footnote w:id="4">
    <w:p w:rsidR="00BB1D63" w:rsidRPr="00DA6A75" w:rsidRDefault="00BB1D63" w:rsidP="00FD6052">
      <w:pPr>
        <w:pStyle w:val="FootnoteText"/>
        <w:rPr>
          <w:lang w:val="tr-TR"/>
        </w:rPr>
      </w:pPr>
      <w:r>
        <w:rPr>
          <w:rStyle w:val="FootnoteReference"/>
        </w:rPr>
        <w:footnoteRef/>
      </w:r>
      <w:r>
        <w:rPr>
          <w:rFonts w:ascii="Times New Roman" w:hAnsi="Times New Roman" w:cs="Times New Roman"/>
        </w:rPr>
        <w:t xml:space="preserve"> </w:t>
      </w:r>
      <w:r w:rsidRPr="00DA6A75">
        <w:rPr>
          <w:rFonts w:ascii="Times New Roman" w:hAnsi="Times New Roman" w:cs="Times New Roman"/>
        </w:rPr>
        <w:t>Referans</w:t>
      </w:r>
      <w:r>
        <w:rPr>
          <w:rFonts w:ascii="Times New Roman" w:hAnsi="Times New Roman" w:cs="Times New Roman"/>
        </w:rPr>
        <w:t xml:space="preserve"> </w:t>
      </w:r>
      <w:r w:rsidRPr="00DA6A75">
        <w:rPr>
          <w:rFonts w:ascii="Times New Roman" w:hAnsi="Times New Roman" w:cs="Times New Roman"/>
        </w:rPr>
        <w:t>kuruluş</w:t>
      </w:r>
      <w:r>
        <w:rPr>
          <w:rFonts w:ascii="Times New Roman" w:hAnsi="Times New Roman" w:cs="Times New Roman"/>
        </w:rPr>
        <w:t xml:space="preserve"> </w:t>
      </w:r>
      <w:r w:rsidRPr="00DA6A75">
        <w:rPr>
          <w:rFonts w:ascii="Times New Roman" w:hAnsi="Times New Roman" w:cs="Times New Roman"/>
        </w:rPr>
        <w:t>yerine</w:t>
      </w:r>
      <w:r>
        <w:rPr>
          <w:rFonts w:ascii="Times New Roman" w:hAnsi="Times New Roman" w:cs="Times New Roman"/>
        </w:rPr>
        <w:t xml:space="preserve"> </w:t>
      </w:r>
      <w:r w:rsidRPr="00DA6A75">
        <w:rPr>
          <w:rFonts w:ascii="Times New Roman" w:hAnsi="Times New Roman" w:cs="Times New Roman"/>
        </w:rPr>
        <w:t>benzeri</w:t>
      </w:r>
      <w:r>
        <w:rPr>
          <w:rFonts w:ascii="Times New Roman" w:hAnsi="Times New Roman" w:cs="Times New Roman"/>
        </w:rPr>
        <w:t xml:space="preserve"> </w:t>
      </w:r>
      <w:r w:rsidRPr="00DA6A75">
        <w:rPr>
          <w:rFonts w:ascii="Times New Roman" w:hAnsi="Times New Roman" w:cs="Times New Roman"/>
        </w:rPr>
        <w:t>bir</w:t>
      </w:r>
      <w:r>
        <w:rPr>
          <w:rFonts w:ascii="Times New Roman" w:hAnsi="Times New Roman" w:cs="Times New Roman"/>
        </w:rPr>
        <w:t xml:space="preserve"> </w:t>
      </w:r>
      <w:r w:rsidRPr="00DA6A75">
        <w:rPr>
          <w:rFonts w:ascii="Times New Roman" w:hAnsi="Times New Roman" w:cs="Times New Roman"/>
        </w:rPr>
        <w:t>yapının</w:t>
      </w:r>
      <w:r>
        <w:rPr>
          <w:rFonts w:ascii="Times New Roman" w:hAnsi="Times New Roman" w:cs="Times New Roman"/>
        </w:rPr>
        <w:t xml:space="preserve"> </w:t>
      </w:r>
      <w:r w:rsidRPr="00DA6A75">
        <w:rPr>
          <w:rFonts w:ascii="Times New Roman" w:hAnsi="Times New Roman" w:cs="Times New Roman"/>
        </w:rPr>
        <w:t>olması</w:t>
      </w:r>
      <w:r>
        <w:rPr>
          <w:rFonts w:ascii="Times New Roman" w:hAnsi="Times New Roman" w:cs="Times New Roman"/>
        </w:rPr>
        <w:t xml:space="preserve"> </w:t>
      </w:r>
      <w:r w:rsidRPr="00DA6A75">
        <w:rPr>
          <w:rFonts w:ascii="Times New Roman" w:hAnsi="Times New Roman" w:cs="Times New Roman"/>
        </w:rPr>
        <w:t>halinde</w:t>
      </w:r>
      <w:r>
        <w:rPr>
          <w:rFonts w:ascii="Times New Roman" w:hAnsi="Times New Roman" w:cs="Times New Roman"/>
        </w:rPr>
        <w:t xml:space="preserve"> </w:t>
      </w:r>
      <w:r w:rsidRPr="00DA6A75">
        <w:rPr>
          <w:rFonts w:ascii="Times New Roman" w:hAnsi="Times New Roman" w:cs="Times New Roman"/>
        </w:rPr>
        <w:t>bu</w:t>
      </w:r>
      <w:r>
        <w:rPr>
          <w:rFonts w:ascii="Times New Roman" w:hAnsi="Times New Roman" w:cs="Times New Roman"/>
        </w:rPr>
        <w:t xml:space="preserve"> </w:t>
      </w:r>
      <w:r w:rsidRPr="00DA6A75">
        <w:rPr>
          <w:rFonts w:ascii="Times New Roman" w:hAnsi="Times New Roman" w:cs="Times New Roman"/>
        </w:rPr>
        <w:t>hüküm</w:t>
      </w:r>
      <w:r>
        <w:rPr>
          <w:rFonts w:ascii="Times New Roman" w:hAnsi="Times New Roman" w:cs="Times New Roman"/>
        </w:rPr>
        <w:t xml:space="preserve"> </w:t>
      </w:r>
      <w:r w:rsidRPr="00DA6A75">
        <w:rPr>
          <w:rFonts w:ascii="Times New Roman" w:hAnsi="Times New Roman" w:cs="Times New Roman"/>
        </w:rPr>
        <w:t>kıyasen</w:t>
      </w:r>
      <w:r>
        <w:rPr>
          <w:rFonts w:ascii="Times New Roman" w:hAnsi="Times New Roman" w:cs="Times New Roman"/>
        </w:rPr>
        <w:t xml:space="preserve"> </w:t>
      </w:r>
      <w:r w:rsidRPr="00DA6A75">
        <w:rPr>
          <w:rFonts w:ascii="Times New Roman" w:hAnsi="Times New Roman" w:cs="Times New Roman"/>
        </w:rPr>
        <w:t>uygulanır.</w:t>
      </w:r>
    </w:p>
  </w:footnote>
  <w:footnote w:id="5">
    <w:p w:rsidR="00BB1D63" w:rsidRPr="008C7AAA" w:rsidRDefault="00BB1D63">
      <w:pPr>
        <w:pStyle w:val="FootnoteText"/>
        <w:rPr>
          <w:rFonts w:ascii="Times New Roman" w:hAnsi="Times New Roman" w:cs="Times New Roman"/>
          <w:lang w:val="tr-TR"/>
        </w:rPr>
      </w:pPr>
      <w:r w:rsidRPr="008C7AAA">
        <w:rPr>
          <w:rStyle w:val="FootnoteReference"/>
          <w:rFonts w:ascii="Times New Roman" w:hAnsi="Times New Roman" w:cs="Times New Roman"/>
        </w:rPr>
        <w:footnoteRef/>
      </w:r>
      <w:r w:rsidRPr="008C7AAA">
        <w:rPr>
          <w:rFonts w:ascii="Times New Roman" w:hAnsi="Times New Roman" w:cs="Times New Roman"/>
        </w:rPr>
        <w:t xml:space="preserve"> Yönetim kontrolü, Kurulun pay alım teklifine ilişkin düzenlemelerinde tanımlanmaktadır.</w:t>
      </w:r>
    </w:p>
  </w:footnote>
  <w:footnote w:id="6">
    <w:p w:rsidR="00BB1D63" w:rsidRPr="008C7AAA" w:rsidRDefault="00BB1D63">
      <w:pPr>
        <w:pStyle w:val="FootnoteText"/>
        <w:rPr>
          <w:rFonts w:ascii="Times New Roman" w:hAnsi="Times New Roman" w:cs="Times New Roman"/>
          <w:lang w:val="tr-TR"/>
        </w:rPr>
      </w:pPr>
      <w:r w:rsidRPr="008C7AAA">
        <w:rPr>
          <w:rStyle w:val="FootnoteReference"/>
          <w:rFonts w:ascii="Times New Roman" w:hAnsi="Times New Roman" w:cs="Times New Roman"/>
        </w:rPr>
        <w:footnoteRef/>
      </w:r>
      <w:r w:rsidRPr="008C7AAA">
        <w:rPr>
          <w:rFonts w:ascii="Times New Roman" w:hAnsi="Times New Roman" w:cs="Times New Roman"/>
        </w:rPr>
        <w:t xml:space="preserve"> Yönetim kontrolü, Kurulun pay alım teklifine ilişkin düzenlemelerinde tanımlanmaktadır.</w:t>
      </w:r>
    </w:p>
  </w:footnote>
  <w:footnote w:id="7">
    <w:p w:rsidR="00BB1D63" w:rsidRPr="003E3432" w:rsidRDefault="00BB1D63">
      <w:pPr>
        <w:pStyle w:val="FootnoteText"/>
        <w:rPr>
          <w:rFonts w:ascii="Times New Roman" w:hAnsi="Times New Roman" w:cs="Times New Roman"/>
          <w:lang w:val="tr-TR"/>
        </w:rPr>
      </w:pPr>
      <w:r w:rsidRPr="003E3432">
        <w:rPr>
          <w:rStyle w:val="FootnoteReference"/>
          <w:rFonts w:ascii="Times New Roman" w:hAnsi="Times New Roman" w:cs="Times New Roman"/>
        </w:rPr>
        <w:footnoteRef/>
      </w:r>
      <w:r w:rsidRPr="003E3432">
        <w:rPr>
          <w:rFonts w:ascii="Times New Roman" w:hAnsi="Times New Roman" w:cs="Times New Roman"/>
        </w:rPr>
        <w:t>Söz</w:t>
      </w:r>
      <w:r>
        <w:rPr>
          <w:rFonts w:ascii="Times New Roman" w:hAnsi="Times New Roman" w:cs="Times New Roman"/>
        </w:rPr>
        <w:t xml:space="preserve"> </w:t>
      </w:r>
      <w:r w:rsidRPr="003E3432">
        <w:rPr>
          <w:rFonts w:ascii="Times New Roman" w:hAnsi="Times New Roman" w:cs="Times New Roman"/>
        </w:rPr>
        <w:t>konusu</w:t>
      </w:r>
      <w:r>
        <w:rPr>
          <w:rFonts w:ascii="Times New Roman" w:hAnsi="Times New Roman" w:cs="Times New Roman"/>
        </w:rPr>
        <w:t xml:space="preserve"> </w:t>
      </w:r>
      <w:r w:rsidRPr="003E3432">
        <w:rPr>
          <w:rFonts w:ascii="Times New Roman" w:hAnsi="Times New Roman" w:cs="Times New Roman"/>
        </w:rPr>
        <w:t>raporun</w:t>
      </w:r>
      <w:r>
        <w:rPr>
          <w:rFonts w:ascii="Times New Roman" w:hAnsi="Times New Roman" w:cs="Times New Roman"/>
        </w:rPr>
        <w:t xml:space="preserve"> </w:t>
      </w:r>
      <w:r w:rsidRPr="003E3432">
        <w:rPr>
          <w:rFonts w:ascii="Times New Roman" w:hAnsi="Times New Roman" w:cs="Times New Roman"/>
        </w:rPr>
        <w:t>elektronik</w:t>
      </w:r>
      <w:r>
        <w:rPr>
          <w:rFonts w:ascii="Times New Roman" w:hAnsi="Times New Roman" w:cs="Times New Roman"/>
        </w:rPr>
        <w:t xml:space="preserve"> </w:t>
      </w:r>
      <w:r w:rsidRPr="003E3432">
        <w:rPr>
          <w:rFonts w:ascii="Times New Roman" w:hAnsi="Times New Roman" w:cs="Times New Roman"/>
        </w:rPr>
        <w:t>ortamda</w:t>
      </w:r>
      <w:r>
        <w:rPr>
          <w:rFonts w:ascii="Times New Roman" w:hAnsi="Times New Roman" w:cs="Times New Roman"/>
        </w:rPr>
        <w:t xml:space="preserve"> </w:t>
      </w:r>
      <w:r w:rsidRPr="003E3432">
        <w:rPr>
          <w:rFonts w:ascii="Times New Roman" w:hAnsi="Times New Roman" w:cs="Times New Roman"/>
        </w:rPr>
        <w:t>hazırlanması ve iletilmesi</w:t>
      </w:r>
      <w:r>
        <w:rPr>
          <w:rFonts w:ascii="Times New Roman" w:hAnsi="Times New Roman" w:cs="Times New Roman"/>
        </w:rPr>
        <w:t xml:space="preserve"> </w:t>
      </w:r>
      <w:r w:rsidRPr="003E3432">
        <w:rPr>
          <w:rFonts w:ascii="Times New Roman" w:hAnsi="Times New Roman" w:cs="Times New Roman"/>
        </w:rPr>
        <w:t>mümkündür.</w:t>
      </w:r>
    </w:p>
  </w:footnote>
  <w:footnote w:id="8">
    <w:p w:rsidR="00BB1D63" w:rsidRPr="00107734" w:rsidRDefault="00BB1D63" w:rsidP="00107734">
      <w:pPr>
        <w:pStyle w:val="FootnoteText"/>
        <w:jc w:val="both"/>
        <w:rPr>
          <w:lang w:val="tr-TR"/>
        </w:rPr>
      </w:pPr>
      <w:r>
        <w:rPr>
          <w:rStyle w:val="FootnoteReference"/>
        </w:rPr>
        <w:footnoteRef/>
      </w:r>
      <w:r w:rsidRPr="00107734">
        <w:rPr>
          <w:rFonts w:ascii="Times New Roman" w:hAnsi="Times New Roman" w:cs="Times New Roman"/>
          <w:lang w:val="tr-TR"/>
        </w:rPr>
        <w:t xml:space="preserve">Söz konusu raporda asgari olarak, fon toplam değeri, açık pozisyon </w:t>
      </w:r>
      <w:r>
        <w:rPr>
          <w:rFonts w:ascii="Times New Roman" w:hAnsi="Times New Roman" w:cs="Times New Roman"/>
          <w:lang w:val="tr-TR"/>
        </w:rPr>
        <w:t>tutarı</w:t>
      </w:r>
      <w:r w:rsidRPr="00107734">
        <w:rPr>
          <w:rFonts w:ascii="Times New Roman" w:hAnsi="Times New Roman" w:cs="Times New Roman"/>
          <w:lang w:val="tr-TR"/>
        </w:rPr>
        <w:t xml:space="preserve">, toplam </w:t>
      </w:r>
      <w:r>
        <w:rPr>
          <w:rFonts w:ascii="Times New Roman" w:hAnsi="Times New Roman" w:cs="Times New Roman"/>
          <w:lang w:val="tr-TR"/>
        </w:rPr>
        <w:t>RMD</w:t>
      </w:r>
      <w:r w:rsidRPr="00107734">
        <w:rPr>
          <w:rFonts w:ascii="Times New Roman" w:hAnsi="Times New Roman" w:cs="Times New Roman"/>
          <w:lang w:val="tr-TR"/>
        </w:rPr>
        <w:t xml:space="preserve"> (TL), </w:t>
      </w:r>
      <w:r>
        <w:rPr>
          <w:rFonts w:ascii="Times New Roman" w:hAnsi="Times New Roman" w:cs="Times New Roman"/>
          <w:lang w:val="tr-TR"/>
        </w:rPr>
        <w:t>t</w:t>
      </w:r>
      <w:r w:rsidRPr="00107734">
        <w:rPr>
          <w:rFonts w:ascii="Times New Roman" w:hAnsi="Times New Roman" w:cs="Times New Roman"/>
          <w:lang w:val="tr-TR"/>
        </w:rPr>
        <w:t xml:space="preserve">oplam RMD (%),  </w:t>
      </w:r>
      <w:r>
        <w:rPr>
          <w:rFonts w:ascii="Times New Roman" w:hAnsi="Times New Roman" w:cs="Times New Roman"/>
          <w:lang w:val="tr-TR"/>
        </w:rPr>
        <w:t xml:space="preserve">kaldıraç yaratan </w:t>
      </w:r>
      <w:r w:rsidRPr="00107734">
        <w:rPr>
          <w:rFonts w:ascii="Times New Roman" w:hAnsi="Times New Roman" w:cs="Times New Roman"/>
          <w:lang w:val="tr-TR"/>
        </w:rPr>
        <w:t>işl</w:t>
      </w:r>
      <w:r>
        <w:rPr>
          <w:rFonts w:ascii="Times New Roman" w:hAnsi="Times New Roman" w:cs="Times New Roman"/>
          <w:lang w:val="tr-TR"/>
        </w:rPr>
        <w:t xml:space="preserve">em </w:t>
      </w:r>
      <w:r w:rsidRPr="00107734">
        <w:rPr>
          <w:rFonts w:ascii="Times New Roman" w:hAnsi="Times New Roman" w:cs="Times New Roman"/>
          <w:lang w:val="tr-TR"/>
        </w:rPr>
        <w:t>RMD</w:t>
      </w:r>
      <w:r>
        <w:rPr>
          <w:rFonts w:ascii="Times New Roman" w:hAnsi="Times New Roman" w:cs="Times New Roman"/>
          <w:lang w:val="tr-TR"/>
        </w:rPr>
        <w:t xml:space="preserve"> </w:t>
      </w:r>
      <w:r w:rsidRPr="00107734">
        <w:rPr>
          <w:rFonts w:ascii="Times New Roman" w:hAnsi="Times New Roman" w:cs="Times New Roman"/>
          <w:lang w:val="tr-TR"/>
        </w:rPr>
        <w:t xml:space="preserve">(TL), </w:t>
      </w:r>
      <w:r>
        <w:rPr>
          <w:rFonts w:ascii="Times New Roman" w:hAnsi="Times New Roman" w:cs="Times New Roman"/>
          <w:lang w:val="tr-TR"/>
        </w:rPr>
        <w:t>kaldıraç yaratan işlem RMD (</w:t>
      </w:r>
      <w:r w:rsidRPr="00107734">
        <w:rPr>
          <w:rFonts w:ascii="Times New Roman" w:hAnsi="Times New Roman" w:cs="Times New Roman"/>
          <w:lang w:val="tr-TR"/>
        </w:rPr>
        <w:t>%),</w:t>
      </w:r>
      <w:r>
        <w:rPr>
          <w:rFonts w:ascii="Times New Roman" w:hAnsi="Times New Roman" w:cs="Times New Roman"/>
          <w:lang w:val="tr-TR"/>
        </w:rPr>
        <w:t xml:space="preserve"> </w:t>
      </w:r>
      <w:r w:rsidRPr="00107734">
        <w:rPr>
          <w:rFonts w:ascii="Times New Roman" w:hAnsi="Times New Roman" w:cs="Times New Roman"/>
          <w:lang w:val="tr-TR"/>
        </w:rPr>
        <w:t xml:space="preserve">RMD </w:t>
      </w:r>
      <w:r>
        <w:rPr>
          <w:rFonts w:ascii="Times New Roman" w:hAnsi="Times New Roman" w:cs="Times New Roman"/>
          <w:lang w:val="tr-TR"/>
        </w:rPr>
        <w:t>l</w:t>
      </w:r>
      <w:r w:rsidRPr="00107734">
        <w:rPr>
          <w:rFonts w:ascii="Times New Roman" w:hAnsi="Times New Roman" w:cs="Times New Roman"/>
          <w:lang w:val="tr-TR"/>
        </w:rPr>
        <w:t>imiti</w:t>
      </w:r>
      <w:r>
        <w:rPr>
          <w:rFonts w:ascii="Times New Roman" w:hAnsi="Times New Roman" w:cs="Times New Roman"/>
          <w:lang w:val="tr-TR"/>
        </w:rPr>
        <w:t xml:space="preserve"> ve kaldıraç limiti ve gerçekleşen kaldıraç bilgileri yer alır.</w:t>
      </w:r>
    </w:p>
  </w:footnote>
  <w:footnote w:id="9">
    <w:p w:rsidR="00BB1D63" w:rsidRPr="004B7921" w:rsidRDefault="00BB1D63" w:rsidP="004B7921">
      <w:pPr>
        <w:pStyle w:val="FootnoteText"/>
        <w:jc w:val="both"/>
        <w:rPr>
          <w:lang w:val="tr-TR"/>
        </w:rPr>
      </w:pPr>
      <w:r>
        <w:rPr>
          <w:rStyle w:val="FootnoteReference"/>
        </w:rPr>
        <w:footnoteRef/>
      </w:r>
      <w:r>
        <w:t xml:space="preserve"> </w:t>
      </w:r>
      <w:r>
        <w:rPr>
          <w:rFonts w:ascii="Times New Roman" w:hAnsi="Times New Roman" w:cs="Times New Roman"/>
        </w:rPr>
        <w:t>Risk yönetim biriminin Kurucu nezdinde oluşturulmadığı hallerde ilgili kurum (yönetici veya dışarıdan hizmet sağlayan kurum) tarafından belirlenen risk yönetim prosedürlerine Kurucu yönetim kurulu kararı ile onay verilir. Fon portföy yönetiminin Kurucu dışında bir portföy yönetim şirketi tarafından yapıldığı ve aynı zamanda risk yönetim hizmetinin dışarıdan sağlandığı durumlarda ise söz konusu prosedürler Yöneticinin yönetim kurulu kararı ile de onaylanır.</w:t>
      </w:r>
    </w:p>
  </w:footnote>
  <w:footnote w:id="10">
    <w:p w:rsidR="00BB1D63" w:rsidRPr="000C570D" w:rsidRDefault="00BB1D63" w:rsidP="000C570D">
      <w:pPr>
        <w:pStyle w:val="FootnoteText"/>
        <w:jc w:val="both"/>
        <w:rPr>
          <w:lang w:val="tr-TR"/>
        </w:rPr>
      </w:pPr>
      <w:r>
        <w:rPr>
          <w:rStyle w:val="FootnoteReference"/>
        </w:rPr>
        <w:footnoteRef/>
      </w:r>
      <w:r>
        <w:rPr>
          <w:rFonts w:ascii="Times New Roman" w:hAnsi="Times New Roman" w:cs="Times New Roman"/>
        </w:rPr>
        <w:t xml:space="preserve"> </w:t>
      </w:r>
      <w:r w:rsidRPr="000C570D">
        <w:rPr>
          <w:rFonts w:ascii="Times New Roman" w:hAnsi="Times New Roman" w:cs="Times New Roman"/>
        </w:rPr>
        <w:t>Borsa</w:t>
      </w:r>
      <w:r>
        <w:rPr>
          <w:rFonts w:ascii="Times New Roman" w:hAnsi="Times New Roman" w:cs="Times New Roman"/>
        </w:rPr>
        <w:t xml:space="preserve"> </w:t>
      </w:r>
      <w:r w:rsidRPr="000C570D">
        <w:rPr>
          <w:rFonts w:ascii="Times New Roman" w:hAnsi="Times New Roman" w:cs="Times New Roman"/>
        </w:rPr>
        <w:t>dışı</w:t>
      </w:r>
      <w:r>
        <w:rPr>
          <w:rFonts w:ascii="Times New Roman" w:hAnsi="Times New Roman" w:cs="Times New Roman"/>
        </w:rPr>
        <w:t xml:space="preserve"> sözleşmenin </w:t>
      </w:r>
      <w:r w:rsidRPr="000C570D">
        <w:rPr>
          <w:rFonts w:ascii="Times New Roman" w:hAnsi="Times New Roman" w:cs="Times New Roman"/>
        </w:rPr>
        <w:t>özelliklerinden</w:t>
      </w:r>
      <w:r>
        <w:rPr>
          <w:rFonts w:ascii="Times New Roman" w:hAnsi="Times New Roman" w:cs="Times New Roman"/>
        </w:rPr>
        <w:t xml:space="preserve"> </w:t>
      </w:r>
      <w:r w:rsidRPr="000C570D">
        <w:rPr>
          <w:rFonts w:ascii="Times New Roman" w:hAnsi="Times New Roman" w:cs="Times New Roman"/>
        </w:rPr>
        <w:t>ötürü “piyasaya</w:t>
      </w:r>
      <w:r>
        <w:rPr>
          <w:rFonts w:ascii="Times New Roman" w:hAnsi="Times New Roman" w:cs="Times New Roman"/>
        </w:rPr>
        <w:t xml:space="preserve"> </w:t>
      </w:r>
      <w:r w:rsidRPr="000C570D">
        <w:rPr>
          <w:rFonts w:ascii="Times New Roman" w:hAnsi="Times New Roman" w:cs="Times New Roman"/>
        </w:rPr>
        <w:t>göre</w:t>
      </w:r>
      <w:r>
        <w:rPr>
          <w:rFonts w:ascii="Times New Roman" w:hAnsi="Times New Roman" w:cs="Times New Roman"/>
        </w:rPr>
        <w:t xml:space="preserve"> </w:t>
      </w:r>
      <w:r w:rsidRPr="000C570D">
        <w:rPr>
          <w:rFonts w:ascii="Times New Roman" w:hAnsi="Times New Roman" w:cs="Times New Roman"/>
        </w:rPr>
        <w:t>ayarlama” yönteminin</w:t>
      </w:r>
      <w:r>
        <w:rPr>
          <w:rFonts w:ascii="Times New Roman" w:hAnsi="Times New Roman" w:cs="Times New Roman"/>
        </w:rPr>
        <w:t xml:space="preserve"> </w:t>
      </w:r>
      <w:r w:rsidRPr="000C570D">
        <w:rPr>
          <w:rFonts w:ascii="Times New Roman" w:hAnsi="Times New Roman" w:cs="Times New Roman"/>
        </w:rPr>
        <w:t>kullanılamadığı</w:t>
      </w:r>
      <w:r>
        <w:rPr>
          <w:rFonts w:ascii="Times New Roman" w:hAnsi="Times New Roman" w:cs="Times New Roman"/>
        </w:rPr>
        <w:t xml:space="preserve"> </w:t>
      </w:r>
      <w:r w:rsidRPr="000C570D">
        <w:rPr>
          <w:rFonts w:ascii="Times New Roman" w:hAnsi="Times New Roman" w:cs="Times New Roman"/>
        </w:rPr>
        <w:t>durumlarda, borsa</w:t>
      </w:r>
      <w:r>
        <w:rPr>
          <w:rFonts w:ascii="Times New Roman" w:hAnsi="Times New Roman" w:cs="Times New Roman"/>
        </w:rPr>
        <w:t xml:space="preserve"> </w:t>
      </w:r>
      <w:r w:rsidRPr="000C570D">
        <w:rPr>
          <w:rFonts w:ascii="Times New Roman" w:hAnsi="Times New Roman" w:cs="Times New Roman"/>
        </w:rPr>
        <w:t>dışı</w:t>
      </w:r>
      <w:r>
        <w:rPr>
          <w:rFonts w:ascii="Times New Roman" w:hAnsi="Times New Roman" w:cs="Times New Roman"/>
        </w:rPr>
        <w:t xml:space="preserve"> </w:t>
      </w:r>
      <w:r w:rsidRPr="000C570D">
        <w:rPr>
          <w:rFonts w:ascii="Times New Roman" w:hAnsi="Times New Roman" w:cs="Times New Roman"/>
        </w:rPr>
        <w:t>sözleşmeden</w:t>
      </w:r>
      <w:r>
        <w:rPr>
          <w:rFonts w:ascii="Times New Roman" w:hAnsi="Times New Roman" w:cs="Times New Roman"/>
        </w:rPr>
        <w:t xml:space="preserve"> </w:t>
      </w:r>
      <w:r w:rsidRPr="000C570D">
        <w:rPr>
          <w:rFonts w:ascii="Times New Roman" w:hAnsi="Times New Roman" w:cs="Times New Roman"/>
        </w:rPr>
        <w:t>kaynaklanacak</w:t>
      </w:r>
      <w:r>
        <w:rPr>
          <w:rFonts w:ascii="Times New Roman" w:hAnsi="Times New Roman" w:cs="Times New Roman"/>
        </w:rPr>
        <w:t xml:space="preserve"> uygun başka bir yöntemle </w:t>
      </w:r>
      <w:r w:rsidRPr="000C570D">
        <w:rPr>
          <w:rFonts w:ascii="Times New Roman" w:hAnsi="Times New Roman" w:cs="Times New Roman"/>
        </w:rPr>
        <w:t>maksimum</w:t>
      </w:r>
      <w:r>
        <w:rPr>
          <w:rFonts w:ascii="Times New Roman" w:hAnsi="Times New Roman" w:cs="Times New Roman"/>
        </w:rPr>
        <w:t xml:space="preserve"> </w:t>
      </w:r>
      <w:r w:rsidRPr="000C570D">
        <w:rPr>
          <w:rFonts w:ascii="Times New Roman" w:hAnsi="Times New Roman" w:cs="Times New Roman"/>
        </w:rPr>
        <w:t>kaybı</w:t>
      </w:r>
      <w:r>
        <w:rPr>
          <w:rFonts w:ascii="Times New Roman" w:hAnsi="Times New Roman" w:cs="Times New Roman"/>
        </w:rPr>
        <w:t>n ölçülmesi suretiyle karşı taraf riski hesaplanabilir. Söz konusu hesaplama günlük olarak yapılır ve hesaplamada sadece pozitif değerler dikkate alınır.</w:t>
      </w:r>
    </w:p>
  </w:footnote>
  <w:footnote w:id="11">
    <w:p w:rsidR="00BB1D63" w:rsidRPr="004B7921" w:rsidRDefault="00BB1D63" w:rsidP="00955F32">
      <w:pPr>
        <w:pStyle w:val="FootnoteText"/>
        <w:jc w:val="both"/>
        <w:rPr>
          <w:lang w:val="tr-TR"/>
        </w:rPr>
      </w:pPr>
      <w:r>
        <w:rPr>
          <w:rStyle w:val="FootnoteReference"/>
        </w:rPr>
        <w:footnoteRef/>
      </w:r>
      <w:r w:rsidRPr="004B7921">
        <w:rPr>
          <w:rFonts w:ascii="Times New Roman" w:hAnsi="Times New Roman" w:cs="Times New Roman"/>
        </w:rPr>
        <w:t>.</w:t>
      </w:r>
      <w:r>
        <w:rPr>
          <w:lang w:val="tr-TR"/>
        </w:rPr>
        <w:t xml:space="preserve"> </w:t>
      </w:r>
      <w:r>
        <w:rPr>
          <w:rFonts w:ascii="Times New Roman" w:hAnsi="Times New Roman" w:cs="Times New Roman"/>
        </w:rPr>
        <w:t>Risk yönetim biriminin Kurucu nezdinde oluşturulmadığı hallerde ilgili kurum (yönetici veya dışarıdan hizmet sağlayan kurum) tarafından belirlenen risk yönetim prosedürlerine Kurucu yönetim kurulu kararı ile onay verilir. Fon portföy yönetiminin Kurucu dışında bir portföy yönetim şirketi tarafından yapıldığı ve aynı zamanda risk yönetim hizmetinin dışarıdan sağlandığı durumlarda ise söz konusu prosedürler Yöneticinin yönetim kurulu kararı ile de onaylanır.</w:t>
      </w:r>
    </w:p>
    <w:p w:rsidR="00BB1D63" w:rsidRPr="004B7921" w:rsidRDefault="00BB1D63" w:rsidP="004B7921">
      <w:pPr>
        <w:pStyle w:val="FootnoteText"/>
        <w:jc w:val="both"/>
        <w:rPr>
          <w:lang w:val="tr-TR"/>
        </w:rPr>
      </w:pPr>
    </w:p>
  </w:footnote>
  <w:footnote w:id="12">
    <w:p w:rsidR="00BB1D63" w:rsidRPr="007244DF" w:rsidRDefault="00BB1D63" w:rsidP="00F96A62">
      <w:pPr>
        <w:pStyle w:val="FootnoteText"/>
        <w:jc w:val="both"/>
        <w:rPr>
          <w:rFonts w:ascii="Times New Roman" w:hAnsi="Times New Roman" w:cs="Times New Roman"/>
        </w:rPr>
      </w:pPr>
      <w:r>
        <w:rPr>
          <w:rStyle w:val="FootnoteReference"/>
        </w:rPr>
        <w:footnoteRef/>
      </w:r>
      <w:r w:rsidRPr="007244DF">
        <w:rPr>
          <w:rFonts w:ascii="Times New Roman" w:hAnsi="Times New Roman" w:cs="Times New Roman"/>
        </w:rPr>
        <w:t>Maksimum delta, olası</w:t>
      </w:r>
      <w:r>
        <w:rPr>
          <w:rFonts w:ascii="Times New Roman" w:hAnsi="Times New Roman" w:cs="Times New Roman"/>
        </w:rPr>
        <w:t xml:space="preserve"> </w:t>
      </w:r>
      <w:r w:rsidRPr="007244DF">
        <w:rPr>
          <w:rFonts w:ascii="Times New Roman" w:hAnsi="Times New Roman" w:cs="Times New Roman"/>
        </w:rPr>
        <w:t>tüm</w:t>
      </w:r>
      <w:r>
        <w:rPr>
          <w:rFonts w:ascii="Times New Roman" w:hAnsi="Times New Roman" w:cs="Times New Roman"/>
        </w:rPr>
        <w:t xml:space="preserve"> </w:t>
      </w:r>
      <w:r w:rsidRPr="007244DF">
        <w:rPr>
          <w:rFonts w:ascii="Times New Roman" w:hAnsi="Times New Roman" w:cs="Times New Roman"/>
        </w:rPr>
        <w:t>piyasa</w:t>
      </w:r>
      <w:r>
        <w:rPr>
          <w:rFonts w:ascii="Times New Roman" w:hAnsi="Times New Roman" w:cs="Times New Roman"/>
        </w:rPr>
        <w:t xml:space="preserve"> </w:t>
      </w:r>
      <w:r w:rsidRPr="007244DF">
        <w:rPr>
          <w:rFonts w:ascii="Times New Roman" w:hAnsi="Times New Roman" w:cs="Times New Roman"/>
        </w:rPr>
        <w:t>senaryoları</w:t>
      </w:r>
      <w:r>
        <w:rPr>
          <w:rFonts w:ascii="Times New Roman" w:hAnsi="Times New Roman" w:cs="Times New Roman"/>
        </w:rPr>
        <w:t xml:space="preserve"> </w:t>
      </w:r>
      <w:r w:rsidRPr="007244DF">
        <w:rPr>
          <w:rFonts w:ascii="Times New Roman" w:hAnsi="Times New Roman" w:cs="Times New Roman"/>
        </w:rPr>
        <w:t>dikkate</w:t>
      </w:r>
      <w:r>
        <w:rPr>
          <w:rFonts w:ascii="Times New Roman" w:hAnsi="Times New Roman" w:cs="Times New Roman"/>
        </w:rPr>
        <w:t xml:space="preserve"> </w:t>
      </w:r>
      <w:r w:rsidRPr="007244DF">
        <w:rPr>
          <w:rFonts w:ascii="Times New Roman" w:hAnsi="Times New Roman" w:cs="Times New Roman"/>
        </w:rPr>
        <w:t>alınarak, opsiyonun</w:t>
      </w:r>
      <w:r>
        <w:rPr>
          <w:rFonts w:ascii="Times New Roman" w:hAnsi="Times New Roman" w:cs="Times New Roman"/>
        </w:rPr>
        <w:t xml:space="preserve"> </w:t>
      </w:r>
      <w:r w:rsidRPr="007244DF">
        <w:rPr>
          <w:rFonts w:ascii="Times New Roman" w:hAnsi="Times New Roman" w:cs="Times New Roman"/>
        </w:rPr>
        <w:t>deltasının</w:t>
      </w:r>
      <w:r>
        <w:rPr>
          <w:rFonts w:ascii="Times New Roman" w:hAnsi="Times New Roman" w:cs="Times New Roman"/>
        </w:rPr>
        <w:t xml:space="preserve"> </w:t>
      </w:r>
      <w:r w:rsidRPr="007244DF">
        <w:rPr>
          <w:rFonts w:ascii="Times New Roman" w:hAnsi="Times New Roman" w:cs="Times New Roman"/>
        </w:rPr>
        <w:t xml:space="preserve">alabileceği en yüksek        (pozitifise) veya en düşük (negatifise) değerdir. </w:t>
      </w:r>
    </w:p>
    <w:p w:rsidR="00BB1D63" w:rsidRPr="00EE758D" w:rsidRDefault="00BB1D63" w:rsidP="002D6087">
      <w:pPr>
        <w:pStyle w:val="FootnoteText"/>
        <w:rPr>
          <w:lang w:val="tr-TR"/>
        </w:rPr>
      </w:pPr>
    </w:p>
  </w:footnote>
  <w:footnote w:id="13">
    <w:p w:rsidR="00BB1D63" w:rsidRPr="001567BB" w:rsidRDefault="00BB1D63" w:rsidP="001567BB">
      <w:pPr>
        <w:pStyle w:val="FootnoteText"/>
        <w:jc w:val="both"/>
        <w:rPr>
          <w:rFonts w:ascii="Times New Roman" w:hAnsi="Times New Roman" w:cs="Times New Roman"/>
          <w:lang w:val="tr-TR"/>
        </w:rPr>
      </w:pPr>
      <w:r w:rsidRPr="001567BB">
        <w:rPr>
          <w:rStyle w:val="FootnoteReference"/>
          <w:rFonts w:ascii="Times New Roman" w:hAnsi="Times New Roman" w:cs="Times New Roman"/>
        </w:rPr>
        <w:footnoteRef/>
      </w:r>
      <w:r>
        <w:rPr>
          <w:rFonts w:ascii="Times New Roman" w:hAnsi="Times New Roman" w:cs="Times New Roman"/>
        </w:rPr>
        <w:t xml:space="preserve"> </w:t>
      </w:r>
      <w:r w:rsidRPr="001567BB">
        <w:rPr>
          <w:rFonts w:ascii="Times New Roman" w:hAnsi="Times New Roman" w:cs="Times New Roman"/>
        </w:rPr>
        <w:t>Riskten</w:t>
      </w:r>
      <w:r>
        <w:rPr>
          <w:rFonts w:ascii="Times New Roman" w:hAnsi="Times New Roman" w:cs="Times New Roman"/>
        </w:rPr>
        <w:t xml:space="preserve"> </w:t>
      </w:r>
      <w:r w:rsidRPr="001567BB">
        <w:rPr>
          <w:rFonts w:ascii="Times New Roman" w:hAnsi="Times New Roman" w:cs="Times New Roman"/>
        </w:rPr>
        <w:t>korunma</w:t>
      </w:r>
      <w:r>
        <w:rPr>
          <w:rFonts w:ascii="Times New Roman" w:hAnsi="Times New Roman" w:cs="Times New Roman"/>
        </w:rPr>
        <w:t xml:space="preserve"> </w:t>
      </w:r>
      <w:r w:rsidRPr="001567BB">
        <w:rPr>
          <w:rFonts w:ascii="Times New Roman" w:hAnsi="Times New Roman" w:cs="Times New Roman"/>
        </w:rPr>
        <w:t>sağlayan</w:t>
      </w:r>
      <w:r>
        <w:rPr>
          <w:rFonts w:ascii="Times New Roman" w:hAnsi="Times New Roman" w:cs="Times New Roman"/>
        </w:rPr>
        <w:t xml:space="preserve"> </w:t>
      </w:r>
      <w:r w:rsidRPr="001567BB">
        <w:rPr>
          <w:rFonts w:ascii="Times New Roman" w:hAnsi="Times New Roman" w:cs="Times New Roman"/>
        </w:rPr>
        <w:t>pozisyonun</w:t>
      </w:r>
      <w:r>
        <w:rPr>
          <w:rFonts w:ascii="Times New Roman" w:hAnsi="Times New Roman" w:cs="Times New Roman"/>
        </w:rPr>
        <w:t xml:space="preserve"> </w:t>
      </w:r>
      <w:r w:rsidRPr="001567BB">
        <w:rPr>
          <w:rFonts w:ascii="Times New Roman" w:hAnsi="Times New Roman" w:cs="Times New Roman"/>
        </w:rPr>
        <w:t>farklı</w:t>
      </w:r>
      <w:r>
        <w:rPr>
          <w:rFonts w:ascii="Times New Roman" w:hAnsi="Times New Roman" w:cs="Times New Roman"/>
        </w:rPr>
        <w:t xml:space="preserve"> </w:t>
      </w:r>
      <w:r w:rsidRPr="001567BB">
        <w:rPr>
          <w:rFonts w:ascii="Times New Roman" w:hAnsi="Times New Roman" w:cs="Times New Roman"/>
        </w:rPr>
        <w:t>senaryolarda da etkin</w:t>
      </w:r>
      <w:r>
        <w:rPr>
          <w:rFonts w:ascii="Times New Roman" w:hAnsi="Times New Roman" w:cs="Times New Roman"/>
        </w:rPr>
        <w:t xml:space="preserve"> </w:t>
      </w:r>
      <w:r w:rsidRPr="001567BB">
        <w:rPr>
          <w:rFonts w:ascii="Times New Roman" w:hAnsi="Times New Roman" w:cs="Times New Roman"/>
        </w:rPr>
        <w:t>koruma</w:t>
      </w:r>
      <w:r>
        <w:rPr>
          <w:rFonts w:ascii="Times New Roman" w:hAnsi="Times New Roman" w:cs="Times New Roman"/>
        </w:rPr>
        <w:t xml:space="preserve"> </w:t>
      </w:r>
      <w:r w:rsidRPr="001567BB">
        <w:rPr>
          <w:rFonts w:ascii="Times New Roman" w:hAnsi="Times New Roman" w:cs="Times New Roman"/>
        </w:rPr>
        <w:t>sağladığı</w:t>
      </w:r>
      <w:r>
        <w:rPr>
          <w:rFonts w:ascii="Times New Roman" w:hAnsi="Times New Roman" w:cs="Times New Roman"/>
        </w:rPr>
        <w:t xml:space="preserve"> </w:t>
      </w:r>
      <w:r w:rsidRPr="001567BB">
        <w:rPr>
          <w:rFonts w:ascii="Times New Roman" w:hAnsi="Times New Roman" w:cs="Times New Roman"/>
        </w:rPr>
        <w:t>teyit</w:t>
      </w:r>
      <w:r>
        <w:rPr>
          <w:rFonts w:ascii="Times New Roman" w:hAnsi="Times New Roman" w:cs="Times New Roman"/>
        </w:rPr>
        <w:t xml:space="preserve"> </w:t>
      </w:r>
      <w:r w:rsidRPr="001567BB">
        <w:rPr>
          <w:rFonts w:ascii="Times New Roman" w:hAnsi="Times New Roman" w:cs="Times New Roman"/>
        </w:rPr>
        <w:t>edilmelidir. Örnegin, kur</w:t>
      </w:r>
      <w:r>
        <w:rPr>
          <w:rFonts w:ascii="Times New Roman" w:hAnsi="Times New Roman" w:cs="Times New Roman"/>
        </w:rPr>
        <w:t xml:space="preserve"> </w:t>
      </w:r>
      <w:r w:rsidRPr="001567BB">
        <w:rPr>
          <w:rFonts w:ascii="Times New Roman" w:hAnsi="Times New Roman" w:cs="Times New Roman"/>
        </w:rPr>
        <w:t>şoku</w:t>
      </w:r>
      <w:r>
        <w:rPr>
          <w:rFonts w:ascii="Times New Roman" w:hAnsi="Times New Roman" w:cs="Times New Roman"/>
        </w:rPr>
        <w:t xml:space="preserve"> </w:t>
      </w:r>
      <w:r w:rsidRPr="001567BB">
        <w:rPr>
          <w:rFonts w:ascii="Times New Roman" w:hAnsi="Times New Roman" w:cs="Times New Roman"/>
        </w:rPr>
        <w:t>yüksek ve dü</w:t>
      </w:r>
      <w:r>
        <w:rPr>
          <w:rFonts w:ascii="Times New Roman" w:hAnsi="Times New Roman" w:cs="Times New Roman"/>
        </w:rPr>
        <w:t>ş</w:t>
      </w:r>
      <w:r w:rsidRPr="001567BB">
        <w:rPr>
          <w:rFonts w:ascii="Times New Roman" w:hAnsi="Times New Roman" w:cs="Times New Roman"/>
        </w:rPr>
        <w:t>ük</w:t>
      </w:r>
      <w:r>
        <w:rPr>
          <w:rFonts w:ascii="Times New Roman" w:hAnsi="Times New Roman" w:cs="Times New Roman"/>
        </w:rPr>
        <w:t xml:space="preserve"> </w:t>
      </w:r>
      <w:r w:rsidRPr="001567BB">
        <w:rPr>
          <w:rFonts w:ascii="Times New Roman" w:hAnsi="Times New Roman" w:cs="Times New Roman"/>
        </w:rPr>
        <w:t>seviyelerde</w:t>
      </w:r>
      <w:r>
        <w:rPr>
          <w:rFonts w:ascii="Times New Roman" w:hAnsi="Times New Roman" w:cs="Times New Roman"/>
        </w:rPr>
        <w:t xml:space="preserve"> </w:t>
      </w:r>
      <w:r w:rsidRPr="001567BB">
        <w:rPr>
          <w:rFonts w:ascii="Times New Roman" w:hAnsi="Times New Roman" w:cs="Times New Roman"/>
        </w:rPr>
        <w:t>verilip</w:t>
      </w:r>
      <w:r>
        <w:rPr>
          <w:rFonts w:ascii="Times New Roman" w:hAnsi="Times New Roman" w:cs="Times New Roman"/>
        </w:rPr>
        <w:t xml:space="preserve"> </w:t>
      </w:r>
      <w:r w:rsidRPr="001567BB">
        <w:rPr>
          <w:rFonts w:ascii="Times New Roman" w:hAnsi="Times New Roman" w:cs="Times New Roman"/>
        </w:rPr>
        <w:t>riskten</w:t>
      </w:r>
      <w:r>
        <w:rPr>
          <w:rFonts w:ascii="Times New Roman" w:hAnsi="Times New Roman" w:cs="Times New Roman"/>
        </w:rPr>
        <w:t xml:space="preserve"> </w:t>
      </w:r>
      <w:r w:rsidRPr="001567BB">
        <w:rPr>
          <w:rFonts w:ascii="Times New Roman" w:hAnsi="Times New Roman" w:cs="Times New Roman"/>
        </w:rPr>
        <w:t>korunma</w:t>
      </w:r>
      <w:r>
        <w:rPr>
          <w:rFonts w:ascii="Times New Roman" w:hAnsi="Times New Roman" w:cs="Times New Roman"/>
        </w:rPr>
        <w:t xml:space="preserve"> </w:t>
      </w:r>
      <w:r w:rsidRPr="001567BB">
        <w:rPr>
          <w:rFonts w:ascii="Times New Roman" w:hAnsi="Times New Roman" w:cs="Times New Roman"/>
        </w:rPr>
        <w:t>sağlayan</w:t>
      </w:r>
      <w:r>
        <w:rPr>
          <w:rFonts w:ascii="Times New Roman" w:hAnsi="Times New Roman" w:cs="Times New Roman"/>
        </w:rPr>
        <w:t xml:space="preserve"> </w:t>
      </w:r>
      <w:r w:rsidRPr="001567BB">
        <w:rPr>
          <w:rFonts w:ascii="Times New Roman" w:hAnsi="Times New Roman" w:cs="Times New Roman"/>
        </w:rPr>
        <w:t>pozisyonun</w:t>
      </w:r>
      <w:r>
        <w:rPr>
          <w:rFonts w:ascii="Times New Roman" w:hAnsi="Times New Roman" w:cs="Times New Roman"/>
        </w:rPr>
        <w:t xml:space="preserve"> </w:t>
      </w:r>
      <w:r w:rsidRPr="001567BB">
        <w:rPr>
          <w:rFonts w:ascii="Times New Roman" w:hAnsi="Times New Roman" w:cs="Times New Roman"/>
        </w:rPr>
        <w:t>etkin</w:t>
      </w:r>
      <w:r>
        <w:rPr>
          <w:rFonts w:ascii="Times New Roman" w:hAnsi="Times New Roman" w:cs="Times New Roman"/>
        </w:rPr>
        <w:t xml:space="preserve"> </w:t>
      </w:r>
      <w:r w:rsidRPr="001567BB">
        <w:rPr>
          <w:rFonts w:ascii="Times New Roman" w:hAnsi="Times New Roman" w:cs="Times New Roman"/>
        </w:rPr>
        <w:t>olup</w:t>
      </w:r>
      <w:r>
        <w:rPr>
          <w:rFonts w:ascii="Times New Roman" w:hAnsi="Times New Roman" w:cs="Times New Roman"/>
        </w:rPr>
        <w:t xml:space="preserve"> </w:t>
      </w:r>
      <w:r w:rsidRPr="001567BB">
        <w:rPr>
          <w:rFonts w:ascii="Times New Roman" w:hAnsi="Times New Roman" w:cs="Times New Roman"/>
        </w:rPr>
        <w:t>olmadığı</w:t>
      </w:r>
      <w:r>
        <w:rPr>
          <w:rFonts w:ascii="Times New Roman" w:hAnsi="Times New Roman" w:cs="Times New Roman"/>
        </w:rPr>
        <w:t xml:space="preserve"> kontrol </w:t>
      </w:r>
      <w:r w:rsidRPr="001567BB">
        <w:rPr>
          <w:rFonts w:ascii="Times New Roman" w:hAnsi="Times New Roman" w:cs="Times New Roman"/>
        </w:rPr>
        <w:t>edilmelidir.</w:t>
      </w:r>
    </w:p>
  </w:footnote>
  <w:footnote w:id="14">
    <w:p w:rsidR="00BB1D63" w:rsidRPr="00707607" w:rsidRDefault="00BB1D63" w:rsidP="004A7EDB">
      <w:pPr>
        <w:pStyle w:val="FootnoteText"/>
        <w:jc w:val="both"/>
        <w:rPr>
          <w:rFonts w:ascii="Times New Roman" w:hAnsi="Times New Roman" w:cs="Times New Roman"/>
          <w:sz w:val="24"/>
          <w:szCs w:val="24"/>
          <w:lang w:val="tr-TR"/>
        </w:rPr>
      </w:pPr>
      <w:r>
        <w:rPr>
          <w:rStyle w:val="FootnoteReference"/>
        </w:rPr>
        <w:footnoteRef/>
      </w:r>
      <w:r>
        <w:rPr>
          <w:rFonts w:ascii="Times New Roman" w:hAnsi="Times New Roman" w:cs="Times New Roman"/>
        </w:rPr>
        <w:t xml:space="preserve"> </w:t>
      </w:r>
      <w:r w:rsidRPr="007244DF">
        <w:rPr>
          <w:rFonts w:ascii="Times New Roman" w:hAnsi="Times New Roman" w:cs="Times New Roman"/>
        </w:rPr>
        <w:t>Kurul</w:t>
      </w:r>
      <w:r>
        <w:rPr>
          <w:rFonts w:ascii="Times New Roman" w:hAnsi="Times New Roman" w:cs="Times New Roman"/>
        </w:rPr>
        <w:t>’</w:t>
      </w:r>
      <w:r w:rsidRPr="007244DF">
        <w:rPr>
          <w:rFonts w:ascii="Times New Roman" w:hAnsi="Times New Roman" w:cs="Times New Roman"/>
        </w:rPr>
        <w:t>un VII-128.5 sayılı “Bireysel</w:t>
      </w:r>
      <w:r>
        <w:rPr>
          <w:rFonts w:ascii="Times New Roman" w:hAnsi="Times New Roman" w:cs="Times New Roman"/>
        </w:rPr>
        <w:t xml:space="preserve"> </w:t>
      </w:r>
      <w:r w:rsidRPr="007244DF">
        <w:rPr>
          <w:rFonts w:ascii="Times New Roman" w:hAnsi="Times New Roman" w:cs="Times New Roman"/>
        </w:rPr>
        <w:t>Por</w:t>
      </w:r>
      <w:r>
        <w:rPr>
          <w:rFonts w:ascii="Times New Roman" w:hAnsi="Times New Roman" w:cs="Times New Roman"/>
        </w:rPr>
        <w:t>tföylerin ve Kolektif Yatırım Kuruluşlarını</w:t>
      </w:r>
      <w:r w:rsidRPr="007244DF">
        <w:rPr>
          <w:rFonts w:ascii="Times New Roman" w:hAnsi="Times New Roman" w:cs="Times New Roman"/>
        </w:rPr>
        <w:t>n</w:t>
      </w:r>
      <w:r>
        <w:rPr>
          <w:rFonts w:ascii="Times New Roman" w:hAnsi="Times New Roman" w:cs="Times New Roman"/>
        </w:rPr>
        <w:t xml:space="preserve"> </w:t>
      </w:r>
      <w:r w:rsidRPr="007244DF">
        <w:rPr>
          <w:rFonts w:ascii="Times New Roman" w:hAnsi="Times New Roman" w:cs="Times New Roman"/>
        </w:rPr>
        <w:t>Performans</w:t>
      </w:r>
      <w:r>
        <w:rPr>
          <w:rFonts w:ascii="Times New Roman" w:hAnsi="Times New Roman" w:cs="Times New Roman"/>
        </w:rPr>
        <w:t xml:space="preserve"> </w:t>
      </w:r>
      <w:r w:rsidRPr="007244DF">
        <w:rPr>
          <w:rFonts w:ascii="Times New Roman" w:hAnsi="Times New Roman" w:cs="Times New Roman"/>
        </w:rPr>
        <w:t>Sunumuna, Performa</w:t>
      </w:r>
      <w:r>
        <w:rPr>
          <w:rFonts w:ascii="Times New Roman" w:hAnsi="Times New Roman" w:cs="Times New Roman"/>
        </w:rPr>
        <w:t>nsa Dayalı Ücretlendirilmesine v</w:t>
      </w:r>
      <w:r w:rsidRPr="007244DF">
        <w:rPr>
          <w:rFonts w:ascii="Times New Roman" w:hAnsi="Times New Roman" w:cs="Times New Roman"/>
        </w:rPr>
        <w:t>e Kolektif Yat</w:t>
      </w:r>
      <w:r>
        <w:rPr>
          <w:rFonts w:ascii="Times New Roman" w:hAnsi="Times New Roman" w:cs="Times New Roman"/>
        </w:rPr>
        <w:t>ırım Kuruluşlarını Notlandırma ve Sı</w:t>
      </w:r>
      <w:r w:rsidRPr="007244DF">
        <w:rPr>
          <w:rFonts w:ascii="Times New Roman" w:hAnsi="Times New Roman" w:cs="Times New Roman"/>
        </w:rPr>
        <w:t>ralama</w:t>
      </w:r>
      <w:r>
        <w:rPr>
          <w:rFonts w:ascii="Times New Roman" w:hAnsi="Times New Roman" w:cs="Times New Roman"/>
        </w:rPr>
        <w:t xml:space="preserve"> </w:t>
      </w:r>
      <w:r w:rsidRPr="007244DF">
        <w:rPr>
          <w:rFonts w:ascii="Times New Roman" w:hAnsi="Times New Roman" w:cs="Times New Roman"/>
        </w:rPr>
        <w:t>Faal</w:t>
      </w:r>
      <w:r>
        <w:rPr>
          <w:rFonts w:ascii="Times New Roman" w:hAnsi="Times New Roman" w:cs="Times New Roman"/>
        </w:rPr>
        <w:t xml:space="preserve">iyetlerine </w:t>
      </w:r>
      <w:r w:rsidRPr="00707607">
        <w:rPr>
          <w:rFonts w:ascii="Times New Roman" w:hAnsi="Times New Roman" w:cs="Times New Roman"/>
        </w:rPr>
        <w:t>İlişkin</w:t>
      </w:r>
      <w:r>
        <w:rPr>
          <w:rFonts w:ascii="Times New Roman" w:hAnsi="Times New Roman" w:cs="Times New Roman"/>
        </w:rPr>
        <w:t xml:space="preserve"> </w:t>
      </w:r>
      <w:r w:rsidRPr="00707607">
        <w:rPr>
          <w:rFonts w:ascii="Times New Roman" w:hAnsi="Times New Roman" w:cs="Times New Roman"/>
        </w:rPr>
        <w:t>Esaslar</w:t>
      </w:r>
      <w:r>
        <w:rPr>
          <w:rFonts w:ascii="Times New Roman" w:hAnsi="Times New Roman" w:cs="Times New Roman"/>
        </w:rPr>
        <w:t xml:space="preserve"> </w:t>
      </w:r>
      <w:r w:rsidRPr="00707607">
        <w:rPr>
          <w:rFonts w:ascii="Times New Roman" w:hAnsi="Times New Roman" w:cs="Times New Roman"/>
        </w:rPr>
        <w:t>Hakkında</w:t>
      </w:r>
      <w:r>
        <w:rPr>
          <w:rFonts w:ascii="Times New Roman" w:hAnsi="Times New Roman" w:cs="Times New Roman"/>
        </w:rPr>
        <w:t xml:space="preserve"> </w:t>
      </w:r>
      <w:r w:rsidRPr="00707607">
        <w:rPr>
          <w:rFonts w:ascii="Times New Roman" w:hAnsi="Times New Roman" w:cs="Times New Roman"/>
        </w:rPr>
        <w:t>Tebliği”nin</w:t>
      </w:r>
      <w:r>
        <w:rPr>
          <w:rFonts w:ascii="Times New Roman" w:hAnsi="Times New Roman" w:cs="Times New Roman"/>
        </w:rPr>
        <w:t xml:space="preserve"> (Performans Tebliği)</w:t>
      </w:r>
      <w:r w:rsidRPr="00707607">
        <w:rPr>
          <w:rFonts w:ascii="Times New Roman" w:hAnsi="Times New Roman" w:cs="Times New Roman"/>
        </w:rPr>
        <w:t xml:space="preserve"> 4’üncü</w:t>
      </w:r>
      <w:r>
        <w:rPr>
          <w:rFonts w:ascii="Times New Roman" w:hAnsi="Times New Roman" w:cs="Times New Roman"/>
        </w:rPr>
        <w:t xml:space="preserve"> </w:t>
      </w:r>
      <w:r w:rsidRPr="00707607">
        <w:rPr>
          <w:rFonts w:ascii="Times New Roman" w:hAnsi="Times New Roman" w:cs="Times New Roman"/>
        </w:rPr>
        <w:t>maddesinin</w:t>
      </w:r>
      <w:r>
        <w:rPr>
          <w:rFonts w:ascii="Times New Roman" w:hAnsi="Times New Roman" w:cs="Times New Roman"/>
        </w:rPr>
        <w:t xml:space="preserve"> </w:t>
      </w:r>
      <w:r w:rsidRPr="00707607">
        <w:rPr>
          <w:rFonts w:ascii="Times New Roman" w:hAnsi="Times New Roman" w:cs="Times New Roman"/>
        </w:rPr>
        <w:t>birinci</w:t>
      </w:r>
      <w:r>
        <w:rPr>
          <w:rFonts w:ascii="Times New Roman" w:hAnsi="Times New Roman" w:cs="Times New Roman"/>
        </w:rPr>
        <w:t xml:space="preserve"> </w:t>
      </w:r>
      <w:r w:rsidRPr="00707607">
        <w:rPr>
          <w:rFonts w:ascii="Times New Roman" w:hAnsi="Times New Roman" w:cs="Times New Roman"/>
        </w:rPr>
        <w:t>fıkrasının (c) bendi</w:t>
      </w:r>
      <w:r>
        <w:rPr>
          <w:rFonts w:ascii="Times New Roman" w:hAnsi="Times New Roman" w:cs="Times New Roman"/>
        </w:rPr>
        <w:t xml:space="preserve"> </w:t>
      </w:r>
      <w:r w:rsidRPr="00707607">
        <w:rPr>
          <w:rFonts w:ascii="Times New Roman" w:hAnsi="Times New Roman" w:cs="Times New Roman"/>
        </w:rPr>
        <w:t>uyarınca</w:t>
      </w:r>
      <w:r>
        <w:rPr>
          <w:rFonts w:ascii="Times New Roman" w:hAnsi="Times New Roman" w:cs="Times New Roman"/>
        </w:rPr>
        <w:t xml:space="preserve"> </w:t>
      </w:r>
      <w:r w:rsidRPr="00707607">
        <w:rPr>
          <w:rFonts w:ascii="Times New Roman" w:hAnsi="Times New Roman" w:cs="Times New Roman"/>
        </w:rPr>
        <w:t>karşılaştırma</w:t>
      </w:r>
      <w:r>
        <w:rPr>
          <w:rFonts w:ascii="Times New Roman" w:hAnsi="Times New Roman" w:cs="Times New Roman"/>
        </w:rPr>
        <w:t xml:space="preserve"> </w:t>
      </w:r>
      <w:r w:rsidRPr="00707607">
        <w:rPr>
          <w:rFonts w:ascii="Times New Roman" w:hAnsi="Times New Roman" w:cs="Times New Roman"/>
        </w:rPr>
        <w:t>ölçütü</w:t>
      </w:r>
      <w:r>
        <w:rPr>
          <w:rFonts w:ascii="Times New Roman" w:hAnsi="Times New Roman" w:cs="Times New Roman"/>
        </w:rPr>
        <w:t xml:space="preserve"> </w:t>
      </w:r>
      <w:r w:rsidRPr="00707607">
        <w:rPr>
          <w:rFonts w:ascii="Times New Roman" w:hAnsi="Times New Roman" w:cs="Times New Roman"/>
        </w:rPr>
        <w:t>olmayan</w:t>
      </w:r>
      <w:r>
        <w:rPr>
          <w:rFonts w:ascii="Times New Roman" w:hAnsi="Times New Roman" w:cs="Times New Roman"/>
        </w:rPr>
        <w:t xml:space="preserve"> </w:t>
      </w:r>
      <w:r w:rsidRPr="00707607">
        <w:rPr>
          <w:rFonts w:ascii="Times New Roman" w:hAnsi="Times New Roman" w:cs="Times New Roman"/>
        </w:rPr>
        <w:t>portföylerin</w:t>
      </w:r>
      <w:r>
        <w:rPr>
          <w:rFonts w:ascii="Times New Roman" w:hAnsi="Times New Roman" w:cs="Times New Roman"/>
        </w:rPr>
        <w:t xml:space="preserve"> </w:t>
      </w:r>
      <w:r w:rsidRPr="00707607">
        <w:rPr>
          <w:rFonts w:ascii="Times New Roman" w:hAnsi="Times New Roman" w:cs="Times New Roman"/>
        </w:rPr>
        <w:t>getirisinin</w:t>
      </w:r>
      <w:r>
        <w:rPr>
          <w:rFonts w:ascii="Times New Roman" w:hAnsi="Times New Roman" w:cs="Times New Roman"/>
        </w:rPr>
        <w:t xml:space="preserve"> </w:t>
      </w:r>
      <w:r w:rsidRPr="00707607">
        <w:rPr>
          <w:rFonts w:ascii="Times New Roman" w:hAnsi="Times New Roman" w:cs="Times New Roman"/>
        </w:rPr>
        <w:t>kıyaslanması</w:t>
      </w:r>
      <w:r>
        <w:rPr>
          <w:rFonts w:ascii="Times New Roman" w:hAnsi="Times New Roman" w:cs="Times New Roman"/>
        </w:rPr>
        <w:t xml:space="preserve"> </w:t>
      </w:r>
      <w:r w:rsidRPr="00707607">
        <w:rPr>
          <w:rFonts w:ascii="Times New Roman" w:hAnsi="Times New Roman" w:cs="Times New Roman"/>
        </w:rPr>
        <w:t>amacıyla</w:t>
      </w:r>
      <w:r>
        <w:rPr>
          <w:rFonts w:ascii="Times New Roman" w:hAnsi="Times New Roman" w:cs="Times New Roman"/>
        </w:rPr>
        <w:t xml:space="preserve"> </w:t>
      </w:r>
      <w:r w:rsidRPr="00707607">
        <w:rPr>
          <w:rFonts w:ascii="Times New Roman" w:hAnsi="Times New Roman" w:cs="Times New Roman"/>
        </w:rPr>
        <w:t>kullanılan</w:t>
      </w:r>
      <w:r>
        <w:rPr>
          <w:rFonts w:ascii="Times New Roman" w:hAnsi="Times New Roman" w:cs="Times New Roman"/>
        </w:rPr>
        <w:t xml:space="preserve"> </w:t>
      </w:r>
      <w:r w:rsidRPr="00707607">
        <w:rPr>
          <w:rFonts w:ascii="Times New Roman" w:hAnsi="Times New Roman" w:cs="Times New Roman"/>
        </w:rPr>
        <w:t>değeri</w:t>
      </w:r>
      <w:r>
        <w:rPr>
          <w:rFonts w:ascii="Times New Roman" w:hAnsi="Times New Roman" w:cs="Times New Roman"/>
        </w:rPr>
        <w:t xml:space="preserve"> </w:t>
      </w:r>
      <w:r w:rsidRPr="00707607">
        <w:rPr>
          <w:rFonts w:ascii="Times New Roman" w:hAnsi="Times New Roman" w:cs="Times New Roman"/>
        </w:rPr>
        <w:t>ifade</w:t>
      </w:r>
      <w:r>
        <w:rPr>
          <w:rFonts w:ascii="Times New Roman" w:hAnsi="Times New Roman" w:cs="Times New Roman"/>
        </w:rPr>
        <w:t xml:space="preserve"> </w:t>
      </w:r>
      <w:r w:rsidRPr="00707607">
        <w:rPr>
          <w:rFonts w:ascii="Times New Roman" w:hAnsi="Times New Roman" w:cs="Times New Roman"/>
        </w:rPr>
        <w:t>eder.</w:t>
      </w:r>
    </w:p>
  </w:footnote>
  <w:footnote w:id="15">
    <w:p w:rsidR="00BB1D63" w:rsidRPr="00707607" w:rsidRDefault="00BB1D63" w:rsidP="00F607D7">
      <w:pPr>
        <w:pStyle w:val="FootnoteText"/>
        <w:jc w:val="both"/>
        <w:rPr>
          <w:rFonts w:ascii="Times New Roman" w:hAnsi="Times New Roman" w:cs="Times New Roman"/>
          <w:lang w:val="tr-TR"/>
        </w:rPr>
      </w:pPr>
      <w:r w:rsidRPr="00707607">
        <w:rPr>
          <w:rStyle w:val="FootnoteReference"/>
          <w:rFonts w:ascii="Times New Roman" w:hAnsi="Times New Roman" w:cs="Times New Roman"/>
        </w:rPr>
        <w:footnoteRef/>
      </w:r>
      <w:r w:rsidRPr="00707607">
        <w:rPr>
          <w:rFonts w:ascii="Times New Roman" w:hAnsi="Times New Roman" w:cs="Times New Roman"/>
        </w:rPr>
        <w:t>Olağan</w:t>
      </w:r>
      <w:r>
        <w:rPr>
          <w:rFonts w:ascii="Times New Roman" w:hAnsi="Times New Roman" w:cs="Times New Roman"/>
        </w:rPr>
        <w:t xml:space="preserve"> </w:t>
      </w:r>
      <w:r w:rsidRPr="00707607">
        <w:rPr>
          <w:rFonts w:ascii="Times New Roman" w:hAnsi="Times New Roman" w:cs="Times New Roman"/>
        </w:rPr>
        <w:t>dışı</w:t>
      </w:r>
      <w:r>
        <w:rPr>
          <w:rFonts w:ascii="Times New Roman" w:hAnsi="Times New Roman" w:cs="Times New Roman"/>
        </w:rPr>
        <w:t xml:space="preserve"> </w:t>
      </w:r>
      <w:r w:rsidRPr="00707607">
        <w:rPr>
          <w:rFonts w:ascii="Times New Roman" w:hAnsi="Times New Roman" w:cs="Times New Roman"/>
        </w:rPr>
        <w:t>piyasa</w:t>
      </w:r>
      <w:r>
        <w:rPr>
          <w:rFonts w:ascii="Times New Roman" w:hAnsi="Times New Roman" w:cs="Times New Roman"/>
        </w:rPr>
        <w:t xml:space="preserve"> </w:t>
      </w:r>
      <w:r w:rsidRPr="00707607">
        <w:rPr>
          <w:rFonts w:ascii="Times New Roman" w:hAnsi="Times New Roman" w:cs="Times New Roman"/>
        </w:rPr>
        <w:t>koşulları</w:t>
      </w:r>
      <w:r>
        <w:rPr>
          <w:rFonts w:ascii="Times New Roman" w:hAnsi="Times New Roman" w:cs="Times New Roman"/>
        </w:rPr>
        <w:t xml:space="preserve"> </w:t>
      </w:r>
      <w:r w:rsidRPr="00707607">
        <w:rPr>
          <w:rFonts w:ascii="Times New Roman" w:hAnsi="Times New Roman" w:cs="Times New Roman"/>
        </w:rPr>
        <w:t>gibi</w:t>
      </w:r>
      <w:r>
        <w:rPr>
          <w:rFonts w:ascii="Times New Roman" w:hAnsi="Times New Roman" w:cs="Times New Roman"/>
        </w:rPr>
        <w:t xml:space="preserve"> </w:t>
      </w:r>
      <w:r w:rsidRPr="00707607">
        <w:rPr>
          <w:rFonts w:ascii="Times New Roman" w:hAnsi="Times New Roman" w:cs="Times New Roman"/>
        </w:rPr>
        <w:t>fiyat</w:t>
      </w:r>
      <w:r>
        <w:rPr>
          <w:rFonts w:ascii="Times New Roman" w:hAnsi="Times New Roman" w:cs="Times New Roman"/>
        </w:rPr>
        <w:t xml:space="preserve"> </w:t>
      </w:r>
      <w:r w:rsidRPr="00707607">
        <w:rPr>
          <w:rFonts w:ascii="Times New Roman" w:hAnsi="Times New Roman" w:cs="Times New Roman"/>
        </w:rPr>
        <w:t>oynaklığında</w:t>
      </w:r>
      <w:r>
        <w:rPr>
          <w:rFonts w:ascii="Times New Roman" w:hAnsi="Times New Roman" w:cs="Times New Roman"/>
        </w:rPr>
        <w:t xml:space="preserve"> </w:t>
      </w:r>
      <w:r w:rsidRPr="00707607">
        <w:rPr>
          <w:rFonts w:ascii="Times New Roman" w:hAnsi="Times New Roman" w:cs="Times New Roman"/>
        </w:rPr>
        <w:t>önemli</w:t>
      </w:r>
      <w:r>
        <w:rPr>
          <w:rFonts w:ascii="Times New Roman" w:hAnsi="Times New Roman" w:cs="Times New Roman"/>
        </w:rPr>
        <w:t xml:space="preserve"> </w:t>
      </w:r>
      <w:r w:rsidRPr="00707607">
        <w:rPr>
          <w:rFonts w:ascii="Times New Roman" w:hAnsi="Times New Roman" w:cs="Times New Roman"/>
        </w:rPr>
        <w:t>bir</w:t>
      </w:r>
      <w:r>
        <w:rPr>
          <w:rFonts w:ascii="Times New Roman" w:hAnsi="Times New Roman" w:cs="Times New Roman"/>
        </w:rPr>
        <w:t xml:space="preserve"> </w:t>
      </w:r>
      <w:r w:rsidRPr="00707607">
        <w:rPr>
          <w:rFonts w:ascii="Times New Roman" w:hAnsi="Times New Roman" w:cs="Times New Roman"/>
        </w:rPr>
        <w:t>artışın</w:t>
      </w:r>
      <w:r>
        <w:rPr>
          <w:rFonts w:ascii="Times New Roman" w:hAnsi="Times New Roman" w:cs="Times New Roman"/>
        </w:rPr>
        <w:t xml:space="preserve"> </w:t>
      </w:r>
      <w:r w:rsidRPr="00707607">
        <w:rPr>
          <w:rFonts w:ascii="Times New Roman" w:hAnsi="Times New Roman" w:cs="Times New Roman"/>
        </w:rPr>
        <w:t>oluşmasına</w:t>
      </w:r>
      <w:r>
        <w:rPr>
          <w:rFonts w:ascii="Times New Roman" w:hAnsi="Times New Roman" w:cs="Times New Roman"/>
        </w:rPr>
        <w:t xml:space="preserve"> </w:t>
      </w:r>
      <w:r w:rsidRPr="00707607">
        <w:rPr>
          <w:rFonts w:ascii="Times New Roman" w:hAnsi="Times New Roman" w:cs="Times New Roman"/>
        </w:rPr>
        <w:t>neden</w:t>
      </w:r>
      <w:r>
        <w:rPr>
          <w:rFonts w:ascii="Times New Roman" w:hAnsi="Times New Roman" w:cs="Times New Roman"/>
        </w:rPr>
        <w:t xml:space="preserve"> </w:t>
      </w:r>
      <w:r w:rsidRPr="00707607">
        <w:rPr>
          <w:rFonts w:ascii="Times New Roman" w:hAnsi="Times New Roman" w:cs="Times New Roman"/>
        </w:rPr>
        <w:t>olabilecek</w:t>
      </w:r>
      <w:r>
        <w:rPr>
          <w:rFonts w:ascii="Times New Roman" w:hAnsi="Times New Roman" w:cs="Times New Roman"/>
        </w:rPr>
        <w:t xml:space="preserve"> </w:t>
      </w:r>
      <w:r w:rsidRPr="00707607">
        <w:rPr>
          <w:rFonts w:ascii="Times New Roman" w:hAnsi="Times New Roman" w:cs="Times New Roman"/>
        </w:rPr>
        <w:t>durumlarda</w:t>
      </w:r>
      <w:r>
        <w:rPr>
          <w:rFonts w:ascii="Times New Roman" w:hAnsi="Times New Roman" w:cs="Times New Roman"/>
        </w:rPr>
        <w:t xml:space="preserve"> </w:t>
      </w:r>
      <w:r w:rsidRPr="00707607">
        <w:rPr>
          <w:rFonts w:ascii="Times New Roman" w:hAnsi="Times New Roman" w:cs="Times New Roman"/>
        </w:rPr>
        <w:t>daha</w:t>
      </w:r>
      <w:r>
        <w:rPr>
          <w:rFonts w:ascii="Times New Roman" w:hAnsi="Times New Roman" w:cs="Times New Roman"/>
        </w:rPr>
        <w:t xml:space="preserve"> </w:t>
      </w:r>
      <w:r w:rsidRPr="00707607">
        <w:rPr>
          <w:rFonts w:ascii="Times New Roman" w:hAnsi="Times New Roman" w:cs="Times New Roman"/>
        </w:rPr>
        <w:t>kısa</w:t>
      </w:r>
      <w:r>
        <w:rPr>
          <w:rFonts w:ascii="Times New Roman" w:hAnsi="Times New Roman" w:cs="Times New Roman"/>
        </w:rPr>
        <w:t xml:space="preserve"> </w:t>
      </w:r>
      <w:r w:rsidRPr="00707607">
        <w:rPr>
          <w:rFonts w:ascii="Times New Roman" w:hAnsi="Times New Roman" w:cs="Times New Roman"/>
        </w:rPr>
        <w:t>bir</w:t>
      </w:r>
      <w:r>
        <w:rPr>
          <w:rFonts w:ascii="Times New Roman" w:hAnsi="Times New Roman" w:cs="Times New Roman"/>
        </w:rPr>
        <w:t xml:space="preserve"> </w:t>
      </w:r>
      <w:r w:rsidRPr="00707607">
        <w:rPr>
          <w:rFonts w:ascii="Times New Roman" w:hAnsi="Times New Roman" w:cs="Times New Roman"/>
        </w:rPr>
        <w:t>gözlem</w:t>
      </w:r>
      <w:r>
        <w:rPr>
          <w:rFonts w:ascii="Times New Roman" w:hAnsi="Times New Roman" w:cs="Times New Roman"/>
        </w:rPr>
        <w:t xml:space="preserve"> </w:t>
      </w:r>
      <w:r w:rsidRPr="00707607">
        <w:rPr>
          <w:rFonts w:ascii="Times New Roman" w:hAnsi="Times New Roman" w:cs="Times New Roman"/>
        </w:rPr>
        <w:t>süresi</w:t>
      </w:r>
      <w:r>
        <w:rPr>
          <w:rFonts w:ascii="Times New Roman" w:hAnsi="Times New Roman" w:cs="Times New Roman"/>
        </w:rPr>
        <w:t xml:space="preserve"> </w:t>
      </w:r>
      <w:r w:rsidRPr="00707607">
        <w:rPr>
          <w:rFonts w:ascii="Times New Roman" w:hAnsi="Times New Roman" w:cs="Times New Roman"/>
        </w:rPr>
        <w:t>belirlenmelidir.</w:t>
      </w:r>
    </w:p>
  </w:footnote>
  <w:footnote w:id="16">
    <w:p w:rsidR="00BB1D63" w:rsidRPr="00707607" w:rsidRDefault="00BB1D63" w:rsidP="00F607D7">
      <w:pPr>
        <w:pStyle w:val="FootnoteText"/>
        <w:jc w:val="both"/>
        <w:rPr>
          <w:rFonts w:ascii="Times New Roman" w:hAnsi="Times New Roman" w:cs="Times New Roman"/>
          <w:lang w:val="tr-TR"/>
        </w:rPr>
      </w:pPr>
      <w:r w:rsidRPr="00707607">
        <w:rPr>
          <w:rStyle w:val="FootnoteReference"/>
          <w:rFonts w:ascii="Times New Roman" w:hAnsi="Times New Roman" w:cs="Times New Roman"/>
        </w:rPr>
        <w:footnoteRef/>
      </w:r>
      <w:r w:rsidRPr="00A17CE5">
        <w:rPr>
          <w:rFonts w:ascii="Times New Roman" w:hAnsi="Times New Roman" w:cs="Times New Roman"/>
          <w:lang w:val="tr-TR"/>
        </w:rPr>
        <w:t>Parametrik model, tarihsel</w:t>
      </w:r>
      <w:r>
        <w:rPr>
          <w:rFonts w:ascii="Times New Roman" w:hAnsi="Times New Roman" w:cs="Times New Roman"/>
          <w:lang w:val="tr-TR"/>
        </w:rPr>
        <w:t xml:space="preserve"> </w:t>
      </w:r>
      <w:r w:rsidRPr="00707607">
        <w:rPr>
          <w:rFonts w:ascii="Times New Roman" w:hAnsi="Times New Roman" w:cs="Times New Roman"/>
          <w:lang w:val="tr-TR"/>
        </w:rPr>
        <w:t>simülasyon modeli, Monte Carlo simülasyonu, vb.</w:t>
      </w:r>
    </w:p>
  </w:footnote>
  <w:footnote w:id="17">
    <w:p w:rsidR="00BB1D63" w:rsidRPr="00707607" w:rsidRDefault="00BB1D63" w:rsidP="00F607D7">
      <w:pPr>
        <w:pStyle w:val="FootnoteText"/>
        <w:jc w:val="both"/>
        <w:rPr>
          <w:rFonts w:ascii="Times New Roman" w:hAnsi="Times New Roman" w:cs="Times New Roman"/>
          <w:lang w:val="tr-TR"/>
        </w:rPr>
      </w:pPr>
      <w:r w:rsidRPr="00707607">
        <w:rPr>
          <w:rStyle w:val="FootnoteReference"/>
          <w:rFonts w:ascii="Times New Roman" w:hAnsi="Times New Roman" w:cs="Times New Roman"/>
        </w:rPr>
        <w:footnoteRef/>
      </w:r>
      <w:r w:rsidRPr="00707607">
        <w:rPr>
          <w:rFonts w:ascii="Times New Roman" w:hAnsi="Times New Roman" w:cs="Times New Roman"/>
          <w:lang w:val="tr-TR"/>
        </w:rPr>
        <w:t>Uzun vadeli ve kısa vadeli faiz oranlarında tutarsız piyasa hareketleri (vade yapısı riski), özel sektör ve kamu borçlanma araçlarının faiz oranları arasındaki farkın açılması riski, spot ve vadeli piyasalardaki fiyatların farklı gelişmesi riski,</w:t>
      </w:r>
      <w:r>
        <w:rPr>
          <w:rFonts w:ascii="Times New Roman" w:hAnsi="Times New Roman" w:cs="Times New Roman"/>
          <w:lang w:val="tr-TR"/>
        </w:rPr>
        <w:t xml:space="preserve"> </w:t>
      </w:r>
      <w:r w:rsidRPr="00707607">
        <w:rPr>
          <w:rFonts w:ascii="Times New Roman" w:hAnsi="Times New Roman" w:cs="Times New Roman"/>
          <w:lang w:val="tr-TR"/>
        </w:rPr>
        <w:t>vb.</w:t>
      </w:r>
    </w:p>
  </w:footnote>
  <w:footnote w:id="18">
    <w:p w:rsidR="00BB1D63" w:rsidRPr="00284ADC" w:rsidRDefault="00BB1D63" w:rsidP="00CE16DC">
      <w:pPr>
        <w:pStyle w:val="FootnoteText"/>
        <w:jc w:val="both"/>
        <w:rPr>
          <w:lang w:val="tr-TR"/>
        </w:rPr>
      </w:pPr>
      <w:r w:rsidRPr="00707607">
        <w:rPr>
          <w:rStyle w:val="FootnoteReference"/>
          <w:rFonts w:ascii="Times New Roman" w:hAnsi="Times New Roman" w:cs="Times New Roman"/>
        </w:rPr>
        <w:footnoteRef/>
      </w:r>
      <w:r w:rsidRPr="00707607">
        <w:rPr>
          <w:rFonts w:ascii="Times New Roman" w:hAnsi="Times New Roman" w:cs="Times New Roman"/>
          <w:lang w:val="tr-TR"/>
        </w:rPr>
        <w:t xml:space="preserve">Bir fonun mutlak </w:t>
      </w:r>
      <w:r>
        <w:rPr>
          <w:rFonts w:ascii="Times New Roman" w:hAnsi="Times New Roman" w:cs="Times New Roman"/>
          <w:lang w:val="tr-TR"/>
        </w:rPr>
        <w:t>RMD’sine</w:t>
      </w:r>
      <w:r w:rsidRPr="00707607">
        <w:rPr>
          <w:rFonts w:ascii="Times New Roman" w:hAnsi="Times New Roman" w:cs="Times New Roman"/>
          <w:lang w:val="tr-TR"/>
        </w:rPr>
        <w:t xml:space="preserve"> ilişkin günlük limit, karekök kuralı uygulanması suretiyle hesaplanabilir. </w:t>
      </w:r>
    </w:p>
  </w:footnote>
  <w:footnote w:id="19">
    <w:p w:rsidR="00BB1D63" w:rsidRPr="004663BC" w:rsidRDefault="00BB1D63">
      <w:pPr>
        <w:pStyle w:val="FootnoteText"/>
        <w:rPr>
          <w:lang w:val="tr-TR"/>
        </w:rPr>
      </w:pPr>
      <w:r>
        <w:rPr>
          <w:rStyle w:val="FootnoteReference"/>
        </w:rPr>
        <w:footnoteRef/>
      </w:r>
      <w:r w:rsidRPr="004663BC">
        <w:rPr>
          <w:rFonts w:ascii="Times New Roman" w:hAnsi="Times New Roman" w:cs="Times New Roman"/>
          <w:lang w:val="tr-TR"/>
        </w:rPr>
        <w:t>Bu kişi</w:t>
      </w:r>
      <w:r>
        <w:rPr>
          <w:rFonts w:ascii="Times New Roman" w:hAnsi="Times New Roman" w:cs="Times New Roman"/>
          <w:lang w:val="tr-TR"/>
        </w:rPr>
        <w:t>/kişi</w:t>
      </w:r>
      <w:r w:rsidRPr="004663BC">
        <w:rPr>
          <w:rFonts w:ascii="Times New Roman" w:hAnsi="Times New Roman" w:cs="Times New Roman"/>
          <w:lang w:val="tr-TR"/>
        </w:rPr>
        <w:t>ler risk yönetim biriminde görev</w:t>
      </w:r>
      <w:r>
        <w:rPr>
          <w:rFonts w:ascii="Times New Roman" w:hAnsi="Times New Roman" w:cs="Times New Roman"/>
          <w:lang w:val="tr-TR"/>
        </w:rPr>
        <w:t>li personel</w:t>
      </w:r>
      <w:r w:rsidRPr="004663BC">
        <w:rPr>
          <w:rFonts w:ascii="Times New Roman" w:hAnsi="Times New Roman" w:cs="Times New Roman"/>
          <w:lang w:val="tr-TR"/>
        </w:rPr>
        <w:t xml:space="preserve"> olabilir.</w:t>
      </w:r>
    </w:p>
  </w:footnote>
  <w:footnote w:id="20">
    <w:p w:rsidR="00BB1D63" w:rsidRPr="00133FFF" w:rsidRDefault="00BB1D63" w:rsidP="002D6087">
      <w:pPr>
        <w:pStyle w:val="FootnoteText"/>
        <w:jc w:val="both"/>
        <w:rPr>
          <w:lang w:val="tr-TR"/>
        </w:rPr>
      </w:pPr>
      <w:r>
        <w:rPr>
          <w:rStyle w:val="FootnoteReference"/>
        </w:rPr>
        <w:footnoteRef/>
      </w:r>
      <w:r w:rsidRPr="0074774F">
        <w:rPr>
          <w:rFonts w:ascii="Times New Roman" w:hAnsi="Times New Roman" w:cs="Times New Roman"/>
        </w:rPr>
        <w:t>Olay riski; bir</w:t>
      </w:r>
      <w:r>
        <w:rPr>
          <w:rFonts w:ascii="Times New Roman" w:hAnsi="Times New Roman" w:cs="Times New Roman"/>
        </w:rPr>
        <w:t xml:space="preserve"> finans</w:t>
      </w:r>
      <w:r w:rsidRPr="0074774F">
        <w:rPr>
          <w:rFonts w:ascii="Times New Roman" w:hAnsi="Times New Roman" w:cs="Times New Roman"/>
        </w:rPr>
        <w:t>al</w:t>
      </w:r>
      <w:r>
        <w:rPr>
          <w:rFonts w:ascii="Times New Roman" w:hAnsi="Times New Roman" w:cs="Times New Roman"/>
        </w:rPr>
        <w:t xml:space="preserve"> </w:t>
      </w:r>
      <w:r w:rsidRPr="0074774F">
        <w:rPr>
          <w:rFonts w:ascii="Times New Roman" w:hAnsi="Times New Roman" w:cs="Times New Roman"/>
        </w:rPr>
        <w:t>varlığın</w:t>
      </w:r>
      <w:r>
        <w:rPr>
          <w:rFonts w:ascii="Times New Roman" w:hAnsi="Times New Roman" w:cs="Times New Roman"/>
        </w:rPr>
        <w:t xml:space="preserve"> </w:t>
      </w:r>
      <w:r w:rsidRPr="0074774F">
        <w:rPr>
          <w:rFonts w:ascii="Times New Roman" w:hAnsi="Times New Roman" w:cs="Times New Roman"/>
        </w:rPr>
        <w:t>değerinin</w:t>
      </w:r>
      <w:r>
        <w:rPr>
          <w:rFonts w:ascii="Times New Roman" w:hAnsi="Times New Roman" w:cs="Times New Roman"/>
        </w:rPr>
        <w:t xml:space="preserve"> </w:t>
      </w:r>
      <w:r w:rsidRPr="0074774F">
        <w:rPr>
          <w:rFonts w:ascii="Times New Roman" w:hAnsi="Times New Roman" w:cs="Times New Roman"/>
        </w:rPr>
        <w:t>piyasadaki</w:t>
      </w:r>
      <w:r>
        <w:rPr>
          <w:rFonts w:ascii="Times New Roman" w:hAnsi="Times New Roman" w:cs="Times New Roman"/>
        </w:rPr>
        <w:t xml:space="preserve"> </w:t>
      </w:r>
      <w:r w:rsidRPr="0074774F">
        <w:rPr>
          <w:rFonts w:ascii="Times New Roman" w:hAnsi="Times New Roman" w:cs="Times New Roman"/>
        </w:rPr>
        <w:t>olağan</w:t>
      </w:r>
      <w:r>
        <w:rPr>
          <w:rFonts w:ascii="Times New Roman" w:hAnsi="Times New Roman" w:cs="Times New Roman"/>
        </w:rPr>
        <w:t xml:space="preserve"> </w:t>
      </w:r>
      <w:r w:rsidRPr="0074774F">
        <w:rPr>
          <w:rFonts w:ascii="Times New Roman" w:hAnsi="Times New Roman" w:cs="Times New Roman"/>
        </w:rPr>
        <w:t>dalgalanmalardan</w:t>
      </w:r>
      <w:r>
        <w:rPr>
          <w:rFonts w:ascii="Times New Roman" w:hAnsi="Times New Roman" w:cs="Times New Roman"/>
        </w:rPr>
        <w:t xml:space="preserve"> </w:t>
      </w:r>
      <w:r w:rsidRPr="0074774F">
        <w:rPr>
          <w:rFonts w:ascii="Times New Roman" w:hAnsi="Times New Roman" w:cs="Times New Roman"/>
        </w:rPr>
        <w:t>oldukça</w:t>
      </w:r>
      <w:r>
        <w:rPr>
          <w:rFonts w:ascii="Times New Roman" w:hAnsi="Times New Roman" w:cs="Times New Roman"/>
        </w:rPr>
        <w:t xml:space="preserve"> </w:t>
      </w:r>
      <w:r w:rsidRPr="0074774F">
        <w:rPr>
          <w:rFonts w:ascii="Times New Roman" w:hAnsi="Times New Roman" w:cs="Times New Roman"/>
        </w:rPr>
        <w:t>farklı</w:t>
      </w:r>
      <w:r>
        <w:rPr>
          <w:rFonts w:ascii="Times New Roman" w:hAnsi="Times New Roman" w:cs="Times New Roman"/>
        </w:rPr>
        <w:t xml:space="preserve"> </w:t>
      </w:r>
      <w:r w:rsidRPr="0074774F">
        <w:rPr>
          <w:rFonts w:ascii="Times New Roman" w:hAnsi="Times New Roman" w:cs="Times New Roman"/>
        </w:rPr>
        <w:t>olarak ve beklenmedik</w:t>
      </w:r>
      <w:r>
        <w:rPr>
          <w:rFonts w:ascii="Times New Roman" w:hAnsi="Times New Roman" w:cs="Times New Roman"/>
        </w:rPr>
        <w:t xml:space="preserve"> </w:t>
      </w:r>
      <w:r w:rsidRPr="0074774F">
        <w:rPr>
          <w:rFonts w:ascii="Times New Roman" w:hAnsi="Times New Roman" w:cs="Times New Roman"/>
        </w:rPr>
        <w:t>bir</w:t>
      </w:r>
      <w:r>
        <w:rPr>
          <w:rFonts w:ascii="Times New Roman" w:hAnsi="Times New Roman" w:cs="Times New Roman"/>
        </w:rPr>
        <w:t xml:space="preserve"> </w:t>
      </w:r>
      <w:r w:rsidRPr="0074774F">
        <w:rPr>
          <w:rFonts w:ascii="Times New Roman" w:hAnsi="Times New Roman" w:cs="Times New Roman"/>
        </w:rPr>
        <w:t>şekilde</w:t>
      </w:r>
      <w:r>
        <w:rPr>
          <w:rFonts w:ascii="Times New Roman" w:hAnsi="Times New Roman" w:cs="Times New Roman"/>
        </w:rPr>
        <w:t xml:space="preserve"> </w:t>
      </w:r>
      <w:r w:rsidRPr="0074774F">
        <w:rPr>
          <w:rFonts w:ascii="Times New Roman" w:hAnsi="Times New Roman" w:cs="Times New Roman"/>
        </w:rPr>
        <w:t>değişmesi</w:t>
      </w:r>
      <w:r>
        <w:rPr>
          <w:rFonts w:ascii="Times New Roman" w:hAnsi="Times New Roman" w:cs="Times New Roman"/>
        </w:rPr>
        <w:t xml:space="preserve"> </w:t>
      </w:r>
      <w:r w:rsidRPr="0074774F">
        <w:rPr>
          <w:rFonts w:ascii="Times New Roman" w:hAnsi="Times New Roman" w:cs="Times New Roman"/>
        </w:rPr>
        <w:t>riskini</w:t>
      </w:r>
      <w:r>
        <w:rPr>
          <w:rFonts w:ascii="Times New Roman" w:hAnsi="Times New Roman" w:cs="Times New Roman"/>
        </w:rPr>
        <w:t xml:space="preserve"> </w:t>
      </w:r>
      <w:r w:rsidRPr="0074774F">
        <w:rPr>
          <w:rFonts w:ascii="Times New Roman" w:hAnsi="Times New Roman" w:cs="Times New Roman"/>
        </w:rPr>
        <w:t>ifade</w:t>
      </w:r>
      <w:r>
        <w:rPr>
          <w:rFonts w:ascii="Times New Roman" w:hAnsi="Times New Roman" w:cs="Times New Roman"/>
        </w:rPr>
        <w:t xml:space="preserve"> </w:t>
      </w:r>
      <w:r w:rsidRPr="0074774F">
        <w:rPr>
          <w:rFonts w:ascii="Times New Roman" w:hAnsi="Times New Roman" w:cs="Times New Roman"/>
        </w:rPr>
        <w:t xml:space="preserve">eder. </w:t>
      </w:r>
    </w:p>
  </w:footnote>
  <w:footnote w:id="21">
    <w:p w:rsidR="00BB1D63" w:rsidRPr="0008785A" w:rsidRDefault="00BB1D63" w:rsidP="0008785A">
      <w:pPr>
        <w:pStyle w:val="FootnoteText"/>
        <w:jc w:val="both"/>
        <w:rPr>
          <w:lang w:val="tr-TR"/>
        </w:rPr>
      </w:pPr>
      <w:r>
        <w:rPr>
          <w:rStyle w:val="FootnoteReference"/>
        </w:rPr>
        <w:footnoteRef/>
      </w:r>
      <w:r w:rsidRPr="004152F5">
        <w:rPr>
          <w:rFonts w:ascii="Times New Roman" w:hAnsi="Times New Roman" w:cs="Times New Roman"/>
          <w:lang w:val="tr-TR"/>
        </w:rPr>
        <w:t>Kuruluş, dönüşüm</w:t>
      </w:r>
      <w:r>
        <w:rPr>
          <w:rFonts w:ascii="Times New Roman" w:hAnsi="Times New Roman" w:cs="Times New Roman"/>
          <w:lang w:val="tr-TR"/>
        </w:rPr>
        <w:t xml:space="preserve">, </w:t>
      </w:r>
      <w:r w:rsidRPr="004152F5">
        <w:rPr>
          <w:rFonts w:ascii="Times New Roman" w:hAnsi="Times New Roman" w:cs="Times New Roman"/>
          <w:lang w:val="tr-TR"/>
        </w:rPr>
        <w:t>birleşme</w:t>
      </w:r>
      <w:r>
        <w:rPr>
          <w:rFonts w:ascii="Times New Roman" w:hAnsi="Times New Roman" w:cs="Times New Roman"/>
          <w:lang w:val="tr-TR"/>
        </w:rPr>
        <w:t xml:space="preserve"> ve ihraç</w:t>
      </w:r>
      <w:r w:rsidRPr="004152F5">
        <w:rPr>
          <w:rFonts w:ascii="Times New Roman" w:hAnsi="Times New Roman" w:cs="Times New Roman"/>
          <w:lang w:val="tr-TR"/>
        </w:rPr>
        <w:t xml:space="preserve"> giderleri gibi fonun olağan faaliyetlerinden kaynaklanmayan ve bu kapsamda </w:t>
      </w:r>
      <w:r w:rsidRPr="004152F5">
        <w:rPr>
          <w:rFonts w:ascii="Times New Roman" w:hAnsi="Times New Roman" w:cs="Times New Roman"/>
          <w:u w:val="single"/>
          <w:lang w:val="tr-TR"/>
        </w:rPr>
        <w:t>fon muhasebe sistemine aktarılmayan</w:t>
      </w:r>
      <w:r w:rsidRPr="004152F5">
        <w:rPr>
          <w:rFonts w:ascii="Times New Roman" w:hAnsi="Times New Roman" w:cs="Times New Roman"/>
          <w:lang w:val="tr-TR"/>
        </w:rPr>
        <w:t xml:space="preserve"> tüm giderler/masraflar hariçtir</w:t>
      </w:r>
      <w:r>
        <w:rPr>
          <w:lang w:val="tr-TR"/>
        </w:rPr>
        <w:t xml:space="preserve">. </w:t>
      </w:r>
    </w:p>
  </w:footnote>
  <w:footnote w:id="22">
    <w:p w:rsidR="00BB1D63" w:rsidRPr="00FA7E78" w:rsidRDefault="00BB1D63" w:rsidP="00FA7E78">
      <w:pPr>
        <w:pStyle w:val="FootnoteText"/>
        <w:jc w:val="both"/>
        <w:rPr>
          <w:lang w:val="tr-TR"/>
        </w:rPr>
      </w:pPr>
      <w:r>
        <w:rPr>
          <w:rStyle w:val="FootnoteReference"/>
        </w:rPr>
        <w:footnoteRef/>
      </w:r>
      <w:r w:rsidRPr="00FA7E78">
        <w:rPr>
          <w:rFonts w:ascii="Times New Roman" w:hAnsi="Times New Roman" w:cs="Times New Roman"/>
        </w:rPr>
        <w:t>Örneğin,</w:t>
      </w:r>
      <w:r>
        <w:rPr>
          <w:rFonts w:ascii="Times New Roman" w:hAnsi="Times New Roman" w:cs="Times New Roman"/>
        </w:rPr>
        <w:t xml:space="preserve"> </w:t>
      </w:r>
      <w:r w:rsidRPr="00FA7E78">
        <w:rPr>
          <w:rFonts w:ascii="Times New Roman" w:hAnsi="Times New Roman" w:cs="Times New Roman"/>
        </w:rPr>
        <w:t>fonun</w:t>
      </w:r>
      <w:r>
        <w:rPr>
          <w:rFonts w:ascii="Times New Roman" w:hAnsi="Times New Roman" w:cs="Times New Roman"/>
        </w:rPr>
        <w:t xml:space="preserve"> </w:t>
      </w:r>
      <w:r w:rsidRPr="00FA7E78">
        <w:rPr>
          <w:rFonts w:ascii="Times New Roman" w:hAnsi="Times New Roman" w:cs="Times New Roman"/>
        </w:rPr>
        <w:t>birden</w:t>
      </w:r>
      <w:r>
        <w:rPr>
          <w:rFonts w:ascii="Times New Roman" w:hAnsi="Times New Roman" w:cs="Times New Roman"/>
        </w:rPr>
        <w:t xml:space="preserve"> </w:t>
      </w:r>
      <w:r w:rsidRPr="00FA7E78">
        <w:rPr>
          <w:rFonts w:ascii="Times New Roman" w:hAnsi="Times New Roman" w:cs="Times New Roman"/>
        </w:rPr>
        <w:t>fazla</w:t>
      </w:r>
      <w:r>
        <w:rPr>
          <w:rFonts w:ascii="Times New Roman" w:hAnsi="Times New Roman" w:cs="Times New Roman"/>
        </w:rPr>
        <w:t xml:space="preserve"> </w:t>
      </w:r>
      <w:r w:rsidRPr="00FA7E78">
        <w:rPr>
          <w:rFonts w:ascii="Times New Roman" w:hAnsi="Times New Roman" w:cs="Times New Roman"/>
        </w:rPr>
        <w:t>dayanak</w:t>
      </w:r>
      <w:r>
        <w:rPr>
          <w:rFonts w:ascii="Times New Roman" w:hAnsi="Times New Roman" w:cs="Times New Roman"/>
        </w:rPr>
        <w:t xml:space="preserve"> </w:t>
      </w:r>
      <w:r w:rsidRPr="00FA7E78">
        <w:rPr>
          <w:rFonts w:ascii="Times New Roman" w:hAnsi="Times New Roman" w:cs="Times New Roman"/>
        </w:rPr>
        <w:t>varlığa</w:t>
      </w:r>
      <w:r>
        <w:rPr>
          <w:rFonts w:ascii="Times New Roman" w:hAnsi="Times New Roman" w:cs="Times New Roman"/>
        </w:rPr>
        <w:t xml:space="preserve"> </w:t>
      </w:r>
      <w:r w:rsidRPr="00FA7E78">
        <w:rPr>
          <w:rFonts w:ascii="Times New Roman" w:hAnsi="Times New Roman" w:cs="Times New Roman"/>
        </w:rPr>
        <w:t>bağlı</w:t>
      </w:r>
      <w:r>
        <w:rPr>
          <w:rFonts w:ascii="Times New Roman" w:hAnsi="Times New Roman" w:cs="Times New Roman"/>
        </w:rPr>
        <w:t xml:space="preserve"> </w:t>
      </w:r>
      <w:r w:rsidRPr="00FA7E78">
        <w:rPr>
          <w:rFonts w:ascii="Times New Roman" w:hAnsi="Times New Roman" w:cs="Times New Roman"/>
        </w:rPr>
        <w:t>olması</w:t>
      </w:r>
      <w:r>
        <w:rPr>
          <w:rFonts w:ascii="Times New Roman" w:hAnsi="Times New Roman" w:cs="Times New Roman"/>
        </w:rPr>
        <w:t xml:space="preserve"> </w:t>
      </w:r>
      <w:r w:rsidRPr="00FA7E78">
        <w:rPr>
          <w:rFonts w:ascii="Times New Roman" w:hAnsi="Times New Roman" w:cs="Times New Roman"/>
        </w:rPr>
        <w:t>halinde</w:t>
      </w:r>
      <w:r>
        <w:rPr>
          <w:rFonts w:ascii="Times New Roman" w:hAnsi="Times New Roman" w:cs="Times New Roman"/>
        </w:rPr>
        <w:t xml:space="preserve"> </w:t>
      </w:r>
      <w:r w:rsidRPr="00FA7E78">
        <w:rPr>
          <w:rFonts w:ascii="Times New Roman" w:hAnsi="Times New Roman" w:cs="Times New Roman"/>
        </w:rPr>
        <w:t>tabloların</w:t>
      </w:r>
      <w:r>
        <w:rPr>
          <w:rFonts w:ascii="Times New Roman" w:hAnsi="Times New Roman" w:cs="Times New Roman"/>
        </w:rPr>
        <w:t xml:space="preserve"> </w:t>
      </w:r>
      <w:r w:rsidRPr="00FA7E78">
        <w:rPr>
          <w:rFonts w:ascii="Times New Roman" w:hAnsi="Times New Roman" w:cs="Times New Roman"/>
        </w:rPr>
        <w:t>kullanımı</w:t>
      </w:r>
      <w:r>
        <w:rPr>
          <w:rFonts w:ascii="Times New Roman" w:hAnsi="Times New Roman" w:cs="Times New Roman"/>
        </w:rPr>
        <w:t xml:space="preserve"> </w:t>
      </w:r>
      <w:r w:rsidRPr="00FA7E78">
        <w:rPr>
          <w:rFonts w:ascii="Times New Roman" w:hAnsi="Times New Roman" w:cs="Times New Roman"/>
        </w:rPr>
        <w:t>daha</w:t>
      </w:r>
      <w:r>
        <w:rPr>
          <w:rFonts w:ascii="Times New Roman" w:hAnsi="Times New Roman" w:cs="Times New Roman"/>
        </w:rPr>
        <w:t xml:space="preserve"> </w:t>
      </w:r>
      <w:r w:rsidRPr="00FA7E78">
        <w:rPr>
          <w:rFonts w:ascii="Times New Roman" w:hAnsi="Times New Roman" w:cs="Times New Roman"/>
        </w:rPr>
        <w:t>uygun</w:t>
      </w:r>
      <w:r>
        <w:rPr>
          <w:rFonts w:ascii="Times New Roman" w:hAnsi="Times New Roman" w:cs="Times New Roman"/>
        </w:rPr>
        <w:t xml:space="preserve"> </w:t>
      </w:r>
      <w:r w:rsidRPr="00FA7E78">
        <w:rPr>
          <w:rFonts w:ascii="Times New Roman" w:hAnsi="Times New Roman" w:cs="Times New Roman"/>
        </w:rPr>
        <w:t>olabilecek</w:t>
      </w:r>
      <w:r>
        <w:rPr>
          <w:rFonts w:ascii="Times New Roman" w:hAnsi="Times New Roman" w:cs="Times New Roman"/>
        </w:rPr>
        <w:t xml:space="preserve"> </w:t>
      </w:r>
      <w:r w:rsidRPr="00FA7E78">
        <w:rPr>
          <w:rFonts w:ascii="Times New Roman" w:hAnsi="Times New Roman" w:cs="Times New Roman"/>
        </w:rPr>
        <w:t>iken</w:t>
      </w:r>
      <w:r>
        <w:rPr>
          <w:rFonts w:ascii="Times New Roman" w:hAnsi="Times New Roman" w:cs="Times New Roman"/>
        </w:rPr>
        <w:t xml:space="preserve"> </w:t>
      </w:r>
      <w:r w:rsidRPr="00FA7E78">
        <w:rPr>
          <w:rFonts w:ascii="Times New Roman" w:hAnsi="Times New Roman" w:cs="Times New Roman"/>
        </w:rPr>
        <w:t>fonun</w:t>
      </w:r>
      <w:r>
        <w:rPr>
          <w:rFonts w:ascii="Times New Roman" w:hAnsi="Times New Roman" w:cs="Times New Roman"/>
        </w:rPr>
        <w:t xml:space="preserve"> </w:t>
      </w:r>
      <w:r w:rsidRPr="00FA7E78">
        <w:rPr>
          <w:rFonts w:ascii="Times New Roman" w:hAnsi="Times New Roman" w:cs="Times New Roman"/>
        </w:rPr>
        <w:t>getirisinin</w:t>
      </w:r>
      <w:r>
        <w:rPr>
          <w:rFonts w:ascii="Times New Roman" w:hAnsi="Times New Roman" w:cs="Times New Roman"/>
        </w:rPr>
        <w:t xml:space="preserve"> </w:t>
      </w:r>
      <w:r w:rsidRPr="00FA7E78">
        <w:rPr>
          <w:rFonts w:ascii="Times New Roman" w:hAnsi="Times New Roman" w:cs="Times New Roman"/>
        </w:rPr>
        <w:t>bir</w:t>
      </w:r>
      <w:r>
        <w:rPr>
          <w:rFonts w:ascii="Times New Roman" w:hAnsi="Times New Roman" w:cs="Times New Roman"/>
        </w:rPr>
        <w:t xml:space="preserve"> </w:t>
      </w:r>
      <w:r w:rsidRPr="00FA7E78">
        <w:rPr>
          <w:rFonts w:ascii="Times New Roman" w:hAnsi="Times New Roman" w:cs="Times New Roman"/>
        </w:rPr>
        <w:t>endeksin</w:t>
      </w:r>
      <w:r>
        <w:rPr>
          <w:rFonts w:ascii="Times New Roman" w:hAnsi="Times New Roman" w:cs="Times New Roman"/>
        </w:rPr>
        <w:t xml:space="preserve"> </w:t>
      </w:r>
      <w:r w:rsidRPr="00FA7E78">
        <w:rPr>
          <w:rFonts w:ascii="Times New Roman" w:hAnsi="Times New Roman" w:cs="Times New Roman"/>
        </w:rPr>
        <w:t>zaman</w:t>
      </w:r>
      <w:r>
        <w:rPr>
          <w:rFonts w:ascii="Times New Roman" w:hAnsi="Times New Roman" w:cs="Times New Roman"/>
        </w:rPr>
        <w:t xml:space="preserve"> </w:t>
      </w:r>
      <w:r w:rsidRPr="00FA7E78">
        <w:rPr>
          <w:rFonts w:ascii="Times New Roman" w:hAnsi="Times New Roman" w:cs="Times New Roman"/>
        </w:rPr>
        <w:t>içerisindeki</w:t>
      </w:r>
      <w:r>
        <w:rPr>
          <w:rFonts w:ascii="Times New Roman" w:hAnsi="Times New Roman" w:cs="Times New Roman"/>
        </w:rPr>
        <w:t xml:space="preserve"> </w:t>
      </w:r>
      <w:r w:rsidRPr="00FA7E78">
        <w:rPr>
          <w:rFonts w:ascii="Times New Roman" w:hAnsi="Times New Roman" w:cs="Times New Roman"/>
        </w:rPr>
        <w:t>ortalama</w:t>
      </w:r>
      <w:r>
        <w:rPr>
          <w:rFonts w:ascii="Times New Roman" w:hAnsi="Times New Roman" w:cs="Times New Roman"/>
        </w:rPr>
        <w:t xml:space="preserve"> </w:t>
      </w:r>
      <w:r w:rsidRPr="00FA7E78">
        <w:rPr>
          <w:rFonts w:ascii="Times New Roman" w:hAnsi="Times New Roman" w:cs="Times New Roman"/>
        </w:rPr>
        <w:t>getirisine</w:t>
      </w:r>
      <w:r>
        <w:rPr>
          <w:rFonts w:ascii="Times New Roman" w:hAnsi="Times New Roman" w:cs="Times New Roman"/>
        </w:rPr>
        <w:t xml:space="preserve"> </w:t>
      </w:r>
      <w:r w:rsidRPr="00FA7E78">
        <w:rPr>
          <w:rFonts w:ascii="Times New Roman" w:hAnsi="Times New Roman" w:cs="Times New Roman"/>
        </w:rPr>
        <w:t>bağlı</w:t>
      </w:r>
      <w:r>
        <w:rPr>
          <w:rFonts w:ascii="Times New Roman" w:hAnsi="Times New Roman" w:cs="Times New Roman"/>
        </w:rPr>
        <w:t xml:space="preserve"> </w:t>
      </w:r>
      <w:r w:rsidRPr="00FA7E78">
        <w:rPr>
          <w:rFonts w:ascii="Times New Roman" w:hAnsi="Times New Roman" w:cs="Times New Roman"/>
        </w:rPr>
        <w:t>olduğu</w:t>
      </w:r>
      <w:r>
        <w:rPr>
          <w:rFonts w:ascii="Times New Roman" w:hAnsi="Times New Roman" w:cs="Times New Roman"/>
        </w:rPr>
        <w:t xml:space="preserve"> </w:t>
      </w:r>
      <w:r w:rsidRPr="00FA7E78">
        <w:rPr>
          <w:rFonts w:ascii="Times New Roman" w:hAnsi="Times New Roman" w:cs="Times New Roman"/>
        </w:rPr>
        <w:t>durumlarda</w:t>
      </w:r>
      <w:r>
        <w:rPr>
          <w:rFonts w:ascii="Times New Roman" w:hAnsi="Times New Roman" w:cs="Times New Roman"/>
        </w:rPr>
        <w:t xml:space="preserve"> </w:t>
      </w:r>
      <w:r w:rsidRPr="00FA7E78">
        <w:rPr>
          <w:rFonts w:ascii="Times New Roman" w:hAnsi="Times New Roman" w:cs="Times New Roman"/>
        </w:rPr>
        <w:t>grafik</w:t>
      </w:r>
      <w:r>
        <w:rPr>
          <w:rFonts w:ascii="Times New Roman" w:hAnsi="Times New Roman" w:cs="Times New Roman"/>
        </w:rPr>
        <w:t xml:space="preserve"> </w:t>
      </w:r>
      <w:r w:rsidRPr="00FA7E78">
        <w:rPr>
          <w:rFonts w:ascii="Times New Roman" w:hAnsi="Times New Roman" w:cs="Times New Roman"/>
        </w:rPr>
        <w:t>ile</w:t>
      </w:r>
      <w:r>
        <w:rPr>
          <w:rFonts w:ascii="Times New Roman" w:hAnsi="Times New Roman" w:cs="Times New Roman"/>
        </w:rPr>
        <w:t xml:space="preserve"> </w:t>
      </w:r>
      <w:r w:rsidRPr="00FA7E78">
        <w:rPr>
          <w:rFonts w:ascii="Times New Roman" w:hAnsi="Times New Roman" w:cs="Times New Roman"/>
        </w:rPr>
        <w:t>gösterim</w:t>
      </w:r>
      <w:r>
        <w:rPr>
          <w:rFonts w:ascii="Times New Roman" w:hAnsi="Times New Roman" w:cs="Times New Roman"/>
        </w:rPr>
        <w:t xml:space="preserve"> </w:t>
      </w:r>
      <w:r w:rsidRPr="00FA7E78">
        <w:rPr>
          <w:rFonts w:ascii="Times New Roman" w:hAnsi="Times New Roman" w:cs="Times New Roman"/>
        </w:rPr>
        <w:t>daha</w:t>
      </w:r>
      <w:r>
        <w:rPr>
          <w:rFonts w:ascii="Times New Roman" w:hAnsi="Times New Roman" w:cs="Times New Roman"/>
        </w:rPr>
        <w:t xml:space="preserve"> </w:t>
      </w:r>
      <w:r w:rsidRPr="00FA7E78">
        <w:rPr>
          <w:rFonts w:ascii="Times New Roman" w:hAnsi="Times New Roman" w:cs="Times New Roman"/>
        </w:rPr>
        <w:t>uygun</w:t>
      </w:r>
      <w:r>
        <w:rPr>
          <w:rFonts w:ascii="Times New Roman" w:hAnsi="Times New Roman" w:cs="Times New Roman"/>
        </w:rPr>
        <w:t xml:space="preserve"> </w:t>
      </w:r>
      <w:r w:rsidRPr="00FA7E78">
        <w:rPr>
          <w:rFonts w:ascii="Times New Roman" w:hAnsi="Times New Roman" w:cs="Times New Roman"/>
        </w:rPr>
        <w:t>olabilecektir</w:t>
      </w:r>
      <w:r>
        <w:rPr>
          <w:rFonts w:ascii="Times New Roman" w:hAnsi="Times New Roman" w:cs="Times New Roman"/>
          <w:sz w:val="24"/>
          <w:szCs w:val="24"/>
        </w:rPr>
        <w:t>.</w:t>
      </w:r>
    </w:p>
  </w:footnote>
  <w:footnote w:id="23">
    <w:p w:rsidR="00BB1D63" w:rsidRPr="00634DC7" w:rsidRDefault="00BB1D63">
      <w:pPr>
        <w:pStyle w:val="FootnoteText"/>
        <w:rPr>
          <w:lang w:val="tr-TR"/>
        </w:rPr>
      </w:pPr>
      <w:r>
        <w:rPr>
          <w:rStyle w:val="FootnoteReference"/>
        </w:rPr>
        <w:footnoteRef/>
      </w:r>
      <w:r w:rsidRPr="00634DC7">
        <w:rPr>
          <w:rFonts w:ascii="Times New Roman" w:hAnsi="Times New Roman" w:cs="Times New Roman"/>
        </w:rPr>
        <w:t>Haftanın ilk iş</w:t>
      </w:r>
      <w:r>
        <w:rPr>
          <w:rFonts w:ascii="Times New Roman" w:hAnsi="Times New Roman" w:cs="Times New Roman"/>
        </w:rPr>
        <w:t xml:space="preserve"> </w:t>
      </w:r>
      <w:r w:rsidRPr="00634DC7">
        <w:rPr>
          <w:rFonts w:ascii="Times New Roman" w:hAnsi="Times New Roman" w:cs="Times New Roman"/>
        </w:rPr>
        <w:t>günü</w:t>
      </w:r>
      <w:r>
        <w:rPr>
          <w:rFonts w:ascii="Times New Roman" w:hAnsi="Times New Roman" w:cs="Times New Roman"/>
        </w:rPr>
        <w:t xml:space="preserve"> </w:t>
      </w:r>
      <w:r w:rsidRPr="00634DC7">
        <w:rPr>
          <w:rFonts w:ascii="Times New Roman" w:hAnsi="Times New Roman" w:cs="Times New Roman"/>
        </w:rPr>
        <w:t>ile son iş</w:t>
      </w:r>
      <w:r>
        <w:rPr>
          <w:rFonts w:ascii="Times New Roman" w:hAnsi="Times New Roman" w:cs="Times New Roman"/>
        </w:rPr>
        <w:t xml:space="preserve"> </w:t>
      </w:r>
      <w:r w:rsidRPr="00634DC7">
        <w:rPr>
          <w:rFonts w:ascii="Times New Roman" w:hAnsi="Times New Roman" w:cs="Times New Roman"/>
        </w:rPr>
        <w:t>günü</w:t>
      </w:r>
      <w:r>
        <w:rPr>
          <w:rFonts w:ascii="Times New Roman" w:hAnsi="Times New Roman" w:cs="Times New Roman"/>
        </w:rPr>
        <w:t xml:space="preserve"> </w:t>
      </w:r>
      <w:r w:rsidRPr="00634DC7">
        <w:rPr>
          <w:rFonts w:ascii="Times New Roman" w:hAnsi="Times New Roman" w:cs="Times New Roman"/>
        </w:rPr>
        <w:t>arasındaki</w:t>
      </w:r>
      <w:r>
        <w:rPr>
          <w:rFonts w:ascii="Times New Roman" w:hAnsi="Times New Roman" w:cs="Times New Roman"/>
        </w:rPr>
        <w:t xml:space="preserve"> </w:t>
      </w:r>
      <w:r w:rsidRPr="00634DC7">
        <w:rPr>
          <w:rFonts w:ascii="Times New Roman" w:hAnsi="Times New Roman" w:cs="Times New Roman"/>
        </w:rPr>
        <w:t>getiriyi</w:t>
      </w:r>
      <w:r>
        <w:rPr>
          <w:rFonts w:ascii="Times New Roman" w:hAnsi="Times New Roman" w:cs="Times New Roman"/>
        </w:rPr>
        <w:t xml:space="preserve"> </w:t>
      </w:r>
      <w:r w:rsidRPr="00634DC7">
        <w:rPr>
          <w:rFonts w:ascii="Times New Roman" w:hAnsi="Times New Roman" w:cs="Times New Roman"/>
        </w:rPr>
        <w:t>ifade</w:t>
      </w:r>
      <w:r>
        <w:rPr>
          <w:rFonts w:ascii="Times New Roman" w:hAnsi="Times New Roman" w:cs="Times New Roman"/>
        </w:rPr>
        <w:t xml:space="preserve"> </w:t>
      </w:r>
      <w:r w:rsidRPr="00634DC7">
        <w:rPr>
          <w:rFonts w:ascii="Times New Roman" w:hAnsi="Times New Roman" w:cs="Times New Roman"/>
        </w:rPr>
        <w:t>eder.</w:t>
      </w:r>
    </w:p>
  </w:footnote>
  <w:footnote w:id="24">
    <w:p w:rsidR="00BB1D63" w:rsidRPr="000C6C1D" w:rsidRDefault="00BB1D63" w:rsidP="00B41810">
      <w:pPr>
        <w:pStyle w:val="FootnoteText"/>
        <w:rPr>
          <w:rFonts w:ascii="Times New Roman" w:hAnsi="Times New Roman" w:cs="Times New Roman"/>
        </w:rPr>
      </w:pPr>
      <w:r w:rsidRPr="000C6C1D">
        <w:rPr>
          <w:rStyle w:val="FootnoteReference"/>
          <w:rFonts w:ascii="Times New Roman" w:hAnsi="Times New Roman" w:cs="Times New Roman"/>
        </w:rPr>
        <w:footnoteRef/>
      </w:r>
      <w:r w:rsidRPr="000C6C1D">
        <w:rPr>
          <w:rFonts w:ascii="Times New Roman" w:hAnsi="Times New Roman" w:cs="Times New Roman"/>
        </w:rPr>
        <w:t>Garanili ve koruma</w:t>
      </w:r>
      <w:r>
        <w:rPr>
          <w:rFonts w:ascii="Times New Roman" w:hAnsi="Times New Roman" w:cs="Times New Roman"/>
        </w:rPr>
        <w:t xml:space="preserve"> </w:t>
      </w:r>
      <w:r w:rsidRPr="000C6C1D">
        <w:rPr>
          <w:rFonts w:ascii="Times New Roman" w:hAnsi="Times New Roman" w:cs="Times New Roman"/>
        </w:rPr>
        <w:t>amaçlı</w:t>
      </w:r>
      <w:r>
        <w:rPr>
          <w:rFonts w:ascii="Times New Roman" w:hAnsi="Times New Roman" w:cs="Times New Roman"/>
        </w:rPr>
        <w:t xml:space="preserve"> </w:t>
      </w:r>
      <w:r w:rsidRPr="000C6C1D">
        <w:rPr>
          <w:rFonts w:ascii="Times New Roman" w:hAnsi="Times New Roman" w:cs="Times New Roman"/>
        </w:rPr>
        <w:t>fonlar</w:t>
      </w:r>
      <w:r>
        <w:rPr>
          <w:rFonts w:ascii="Times New Roman" w:hAnsi="Times New Roman" w:cs="Times New Roman"/>
        </w:rPr>
        <w:t xml:space="preserve"> </w:t>
      </w:r>
      <w:r w:rsidRPr="000C6C1D">
        <w:rPr>
          <w:rFonts w:ascii="Times New Roman" w:hAnsi="Times New Roman" w:cs="Times New Roman"/>
        </w:rPr>
        <w:t>için</w:t>
      </w:r>
      <w:r>
        <w:rPr>
          <w:rFonts w:ascii="Times New Roman" w:hAnsi="Times New Roman" w:cs="Times New Roman"/>
        </w:rPr>
        <w:t xml:space="preserve"> </w:t>
      </w:r>
      <w:r w:rsidRPr="000C6C1D">
        <w:rPr>
          <w:rFonts w:ascii="Times New Roman" w:hAnsi="Times New Roman" w:cs="Times New Roman"/>
        </w:rPr>
        <w:t>farklı</w:t>
      </w:r>
      <w:r>
        <w:rPr>
          <w:rFonts w:ascii="Times New Roman" w:hAnsi="Times New Roman" w:cs="Times New Roman"/>
        </w:rPr>
        <w:t xml:space="preserve"> </w:t>
      </w:r>
      <w:r w:rsidRPr="000C6C1D">
        <w:rPr>
          <w:rFonts w:ascii="Times New Roman" w:hAnsi="Times New Roman" w:cs="Times New Roman"/>
        </w:rPr>
        <w:t>bir</w:t>
      </w:r>
      <w:r>
        <w:rPr>
          <w:rFonts w:ascii="Times New Roman" w:hAnsi="Times New Roman" w:cs="Times New Roman"/>
        </w:rPr>
        <w:t xml:space="preserve"> </w:t>
      </w:r>
      <w:r w:rsidRPr="000C6C1D">
        <w:rPr>
          <w:rFonts w:ascii="Times New Roman" w:hAnsi="Times New Roman" w:cs="Times New Roman"/>
        </w:rPr>
        <w:t>zaman</w:t>
      </w:r>
      <w:r>
        <w:rPr>
          <w:rFonts w:ascii="Times New Roman" w:hAnsi="Times New Roman" w:cs="Times New Roman"/>
        </w:rPr>
        <w:t xml:space="preserve"> </w:t>
      </w:r>
      <w:r w:rsidRPr="000C6C1D">
        <w:rPr>
          <w:rFonts w:ascii="Times New Roman" w:hAnsi="Times New Roman" w:cs="Times New Roman"/>
        </w:rPr>
        <w:t>aralığı</w:t>
      </w:r>
      <w:r>
        <w:rPr>
          <w:rFonts w:ascii="Times New Roman" w:hAnsi="Times New Roman" w:cs="Times New Roman"/>
        </w:rPr>
        <w:t xml:space="preserve"> </w:t>
      </w:r>
      <w:r w:rsidRPr="000C6C1D">
        <w:rPr>
          <w:rFonts w:ascii="Times New Roman" w:hAnsi="Times New Roman" w:cs="Times New Roman"/>
        </w:rPr>
        <w:t>belirlenebilir.</w:t>
      </w:r>
    </w:p>
  </w:footnote>
  <w:footnote w:id="25">
    <w:p w:rsidR="00BB1D63" w:rsidRPr="00934F37" w:rsidRDefault="00BB1D63" w:rsidP="00934F37">
      <w:pPr>
        <w:pStyle w:val="FootnoteText"/>
        <w:jc w:val="both"/>
        <w:rPr>
          <w:rFonts w:ascii="Times New Roman" w:hAnsi="Times New Roman" w:cs="Times New Roman"/>
          <w:color w:val="000000"/>
          <w:lang w:val="tr-TR"/>
        </w:rPr>
      </w:pPr>
      <w:r>
        <w:rPr>
          <w:rStyle w:val="FootnoteReference"/>
        </w:rPr>
        <w:footnoteRef/>
      </w:r>
      <w:r>
        <w:rPr>
          <w:rFonts w:ascii="Times New Roman" w:hAnsi="Times New Roman" w:cs="Times New Roman"/>
          <w:color w:val="000000"/>
          <w:lang w:val="tr-TR"/>
        </w:rPr>
        <w:t xml:space="preserve"> K</w:t>
      </w:r>
      <w:r w:rsidRPr="00B71CC4">
        <w:rPr>
          <w:rFonts w:ascii="Times New Roman" w:hAnsi="Times New Roman" w:cs="Times New Roman"/>
          <w:color w:val="000000"/>
          <w:lang w:val="tr-TR"/>
        </w:rPr>
        <w:t xml:space="preserve">atılma payı bedeli iade süresinin uzatımı, nemalandırma esaslarında değişiklik, asgari pay alım satım tutarının değiştirilmesi, pay alım </w:t>
      </w:r>
      <w:r>
        <w:rPr>
          <w:rFonts w:ascii="Times New Roman" w:hAnsi="Times New Roman" w:cs="Times New Roman"/>
          <w:color w:val="000000"/>
          <w:lang w:val="tr-TR"/>
        </w:rPr>
        <w:t xml:space="preserve">satım günlerinin değişmesi gibi yatırımcı aleyhine olabilecek nitelikteki değişikliklerdir. </w:t>
      </w:r>
    </w:p>
  </w:footnote>
  <w:footnote w:id="26">
    <w:p w:rsidR="00BB1D63" w:rsidRPr="00934F37" w:rsidRDefault="00BB1D63" w:rsidP="00934F37">
      <w:pPr>
        <w:pStyle w:val="FootnoteText"/>
        <w:jc w:val="both"/>
        <w:rPr>
          <w:lang w:val="tr-TR"/>
        </w:rPr>
      </w:pPr>
      <w:r w:rsidRPr="00F96A62">
        <w:rPr>
          <w:rFonts w:ascii="Times New Roman" w:hAnsi="Times New Roman" w:cs="Times New Roman"/>
          <w:color w:val="000000"/>
          <w:vertAlign w:val="superscript"/>
          <w:lang w:val="tr-TR"/>
        </w:rPr>
        <w:footnoteRef/>
      </w:r>
      <w:r w:rsidRPr="00934F37">
        <w:rPr>
          <w:rFonts w:ascii="Times New Roman" w:hAnsi="Times New Roman" w:cs="Times New Roman"/>
          <w:color w:val="000000"/>
          <w:lang w:val="tr-TR"/>
        </w:rPr>
        <w:t xml:space="preserve"> Söz konusu belirleme fon tarafından yapılacak bu tür işlemlerin tamamına dayanak olacak şekilde</w:t>
      </w:r>
      <w:r>
        <w:rPr>
          <w:rFonts w:ascii="Times New Roman" w:hAnsi="Times New Roman" w:cs="Times New Roman"/>
          <w:color w:val="000000"/>
          <w:lang w:val="tr-TR"/>
        </w:rPr>
        <w:t xml:space="preserve">, işlem bazında değil, bir defalık yapılır. </w:t>
      </w:r>
    </w:p>
  </w:footnote>
  <w:footnote w:id="27">
    <w:p w:rsidR="00BB1D63" w:rsidRPr="00B71CC4" w:rsidRDefault="00BB1D63" w:rsidP="00934F37">
      <w:pPr>
        <w:pStyle w:val="FootnoteText"/>
        <w:jc w:val="both"/>
        <w:rPr>
          <w:lang w:val="tr-TR"/>
        </w:rPr>
      </w:pPr>
      <w:r>
        <w:rPr>
          <w:rStyle w:val="FootnoteReference"/>
        </w:rPr>
        <w:footnoteRef/>
      </w:r>
      <w:r>
        <w:rPr>
          <w:rFonts w:ascii="Times New Roman" w:hAnsi="Times New Roman" w:cs="Times New Roman"/>
          <w:color w:val="000000"/>
          <w:lang w:val="tr-TR"/>
        </w:rPr>
        <w:t xml:space="preserve">Örneğin; fon portföyündeki varlıklara ilişkin olarak </w:t>
      </w:r>
      <w:r w:rsidRPr="00A55754">
        <w:rPr>
          <w:rFonts w:ascii="Times New Roman" w:hAnsi="Times New Roman" w:cs="Times New Roman"/>
          <w:color w:val="000000"/>
          <w:lang w:val="tr-TR"/>
        </w:rPr>
        <w:t>gün içinde ya</w:t>
      </w:r>
      <w:r>
        <w:rPr>
          <w:rFonts w:ascii="Times New Roman" w:hAnsi="Times New Roman" w:cs="Times New Roman"/>
          <w:color w:val="000000"/>
          <w:lang w:val="tr-TR"/>
        </w:rPr>
        <w:t xml:space="preserve">ratılabilecek işlem hacmine ilişkin bilgiler, </w:t>
      </w:r>
      <w:r w:rsidRPr="000D0680">
        <w:rPr>
          <w:rFonts w:ascii="Times New Roman" w:hAnsi="Times New Roman" w:cs="Times New Roman"/>
        </w:rPr>
        <w:t>işleminfontoplamdeğerineoranı, fonunnakitdurumu, nakitakışı</w:t>
      </w:r>
      <w:r>
        <w:rPr>
          <w:rFonts w:ascii="Times New Roman" w:hAnsi="Times New Roman" w:cs="Times New Roman"/>
        </w:rPr>
        <w:t xml:space="preserve">gibihususlarıiçerir. </w:t>
      </w:r>
    </w:p>
  </w:footnote>
  <w:footnote w:id="28">
    <w:p w:rsidR="00BB1D63" w:rsidRPr="00185965" w:rsidRDefault="00BB1D63" w:rsidP="00C8070F">
      <w:pPr>
        <w:pStyle w:val="FootnoteText"/>
        <w:jc w:val="both"/>
        <w:rPr>
          <w:rFonts w:ascii="Times New Roman" w:hAnsi="Times New Roman" w:cs="Times New Roman"/>
          <w:lang w:val="tr-TR"/>
        </w:rPr>
      </w:pPr>
      <w:r w:rsidRPr="00185965">
        <w:rPr>
          <w:rStyle w:val="FootnoteReference"/>
          <w:rFonts w:ascii="Times New Roman" w:hAnsi="Times New Roman" w:cs="Times New Roman"/>
        </w:rPr>
        <w:footnoteRef/>
      </w:r>
      <w:r>
        <w:rPr>
          <w:rFonts w:ascii="Times New Roman" w:hAnsi="Times New Roman" w:cs="Times New Roman"/>
        </w:rPr>
        <w:t xml:space="preserve">Bu bent, fonun Yatırım stratejisi çerçevesinde kaldıraç yaratan işlemleri fon portföyüne dahil etmeyi öngören fonlar için geçerlidir. Bu kapsamda, </w:t>
      </w:r>
      <w:r>
        <w:rPr>
          <w:rFonts w:ascii="Times New Roman" w:hAnsi="Times New Roman" w:cs="Times New Roman"/>
          <w:color w:val="000000"/>
          <w:lang w:val="tr-TR"/>
        </w:rPr>
        <w:t>g</w:t>
      </w:r>
      <w:r w:rsidRPr="000C6C1D">
        <w:rPr>
          <w:rFonts w:ascii="Times New Roman" w:hAnsi="Times New Roman" w:cs="Times New Roman"/>
          <w:color w:val="000000"/>
          <w:lang w:val="tr-TR"/>
        </w:rPr>
        <w:t>enel ilkeler</w:t>
      </w:r>
      <w:r>
        <w:rPr>
          <w:rFonts w:ascii="Times New Roman" w:hAnsi="Times New Roman" w:cs="Times New Roman"/>
          <w:color w:val="000000"/>
          <w:lang w:val="tr-TR"/>
        </w:rPr>
        <w:t>, kaldıraç yaratmaya yönelik olarak</w:t>
      </w:r>
      <w:r w:rsidRPr="000C6C1D">
        <w:rPr>
          <w:rFonts w:ascii="Times New Roman" w:hAnsi="Times New Roman" w:cs="Times New Roman"/>
          <w:color w:val="000000"/>
          <w:lang w:val="tr-TR"/>
        </w:rPr>
        <w:t xml:space="preserve"> hangi araçlar</w:t>
      </w:r>
      <w:r>
        <w:rPr>
          <w:rFonts w:ascii="Times New Roman" w:hAnsi="Times New Roman" w:cs="Times New Roman"/>
          <w:color w:val="000000"/>
          <w:lang w:val="tr-TR"/>
        </w:rPr>
        <w:t>ın kullanılacağını</w:t>
      </w:r>
      <w:r w:rsidRPr="000C6C1D">
        <w:rPr>
          <w:rFonts w:ascii="Times New Roman" w:hAnsi="Times New Roman" w:cs="Times New Roman"/>
          <w:color w:val="000000"/>
          <w:lang w:val="tr-TR"/>
        </w:rPr>
        <w:t xml:space="preserve"> ilişkin açıklamaları içerir.</w:t>
      </w:r>
    </w:p>
  </w:footnote>
  <w:footnote w:id="29">
    <w:p w:rsidR="00BB1D63" w:rsidRPr="00321604" w:rsidRDefault="00BB1D63" w:rsidP="00A054D4">
      <w:pPr>
        <w:spacing w:line="240" w:lineRule="atLeast"/>
        <w:jc w:val="both"/>
        <w:rPr>
          <w:rFonts w:ascii="Times New Roman" w:eastAsia="Times New Roman" w:hAnsi="Times New Roman" w:cs="Times New Roman"/>
          <w:color w:val="000000"/>
          <w:sz w:val="20"/>
          <w:szCs w:val="20"/>
          <w:lang w:eastAsia="tr-TR"/>
        </w:rPr>
      </w:pPr>
      <w:r w:rsidRPr="00185965">
        <w:rPr>
          <w:rStyle w:val="FootnoteReference"/>
          <w:rFonts w:ascii="Times New Roman" w:hAnsi="Times New Roman" w:cs="Times New Roman"/>
        </w:rPr>
        <w:footnoteRef/>
      </w:r>
      <w:r w:rsidRPr="00185965">
        <w:rPr>
          <w:rFonts w:ascii="Times New Roman" w:hAnsi="Times New Roman" w:cs="Times New Roman"/>
          <w:sz w:val="20"/>
          <w:szCs w:val="20"/>
        </w:rPr>
        <w:t>Finansal Raporlama Tebliği’nin 9</w:t>
      </w:r>
      <w:r>
        <w:rPr>
          <w:rFonts w:ascii="Times New Roman" w:hAnsi="Times New Roman" w:cs="Times New Roman"/>
          <w:sz w:val="20"/>
          <w:szCs w:val="20"/>
        </w:rPr>
        <w:t>’uncu</w:t>
      </w:r>
      <w:r w:rsidRPr="00185965">
        <w:rPr>
          <w:rFonts w:ascii="Times New Roman" w:hAnsi="Times New Roman" w:cs="Times New Roman"/>
          <w:sz w:val="20"/>
          <w:szCs w:val="20"/>
        </w:rPr>
        <w:t xml:space="preserve"> maddesi çerçevesinde borsa dışı repo-ters repo sözleşmeleri, piyasa fiyatını en doğru yansıtacak şekilde</w:t>
      </w:r>
      <w:r w:rsidRPr="00185965">
        <w:rPr>
          <w:rFonts w:ascii="Times New Roman" w:hAnsi="Times New Roman" w:cs="Times New Roman"/>
          <w:color w:val="000000"/>
          <w:sz w:val="20"/>
          <w:szCs w:val="20"/>
        </w:rPr>
        <w:t xml:space="preserve"> güvenilir ve doğrulanabilir bir yöntemle değerlenmelidir.</w:t>
      </w:r>
      <w:r w:rsidRPr="00185965">
        <w:rPr>
          <w:rFonts w:ascii="Times New Roman" w:hAnsi="Times New Roman" w:cs="Times New Roman"/>
          <w:sz w:val="20"/>
          <w:szCs w:val="20"/>
        </w:rPr>
        <w:t xml:space="preserve"> Ayrıca, aynı maddenin </w:t>
      </w:r>
      <w:r w:rsidRPr="00185965">
        <w:rPr>
          <w:rFonts w:ascii="Times New Roman" w:eastAsia="Times New Roman" w:hAnsi="Times New Roman" w:cs="Times New Roman"/>
          <w:color w:val="000000"/>
          <w:sz w:val="20"/>
          <w:szCs w:val="20"/>
          <w:lang w:eastAsia="tr-TR"/>
        </w:rPr>
        <w:t>(1)</w:t>
      </w:r>
      <w:r w:rsidRPr="00321604">
        <w:rPr>
          <w:rFonts w:ascii="Times New Roman" w:eastAsia="Times New Roman" w:hAnsi="Times New Roman" w:cs="Times New Roman"/>
          <w:color w:val="000000"/>
          <w:sz w:val="20"/>
          <w:szCs w:val="20"/>
          <w:lang w:eastAsia="tr-TR"/>
        </w:rPr>
        <w:t xml:space="preserve"> ilâ (7) nolu alt bentlerinde belirtilenler dışında kalan varlıklar, </w:t>
      </w:r>
      <w:r>
        <w:rPr>
          <w:rFonts w:ascii="Times New Roman" w:eastAsia="Times New Roman" w:hAnsi="Times New Roman" w:cs="Times New Roman"/>
          <w:color w:val="000000"/>
          <w:sz w:val="20"/>
          <w:szCs w:val="20"/>
          <w:lang w:eastAsia="tr-TR"/>
        </w:rPr>
        <w:t>KGK</w:t>
      </w:r>
      <w:r w:rsidRPr="00321604">
        <w:rPr>
          <w:rFonts w:ascii="Times New Roman" w:eastAsia="Times New Roman" w:hAnsi="Times New Roman" w:cs="Times New Roman"/>
          <w:color w:val="000000"/>
          <w:sz w:val="20"/>
          <w:szCs w:val="20"/>
          <w:lang w:eastAsia="tr-TR"/>
        </w:rPr>
        <w:t xml:space="preserve"> tarafından yayımlanan TMS/TFRS dikkate alınarak değerlen</w:t>
      </w:r>
      <w:r>
        <w:rPr>
          <w:rFonts w:ascii="Times New Roman" w:eastAsia="Times New Roman" w:hAnsi="Times New Roman" w:cs="Times New Roman"/>
          <w:color w:val="000000"/>
          <w:sz w:val="20"/>
          <w:szCs w:val="20"/>
          <w:lang w:eastAsia="tr-TR"/>
        </w:rPr>
        <w:t>melidir</w:t>
      </w:r>
      <w:r w:rsidRPr="00321604">
        <w:rPr>
          <w:rFonts w:ascii="Times New Roman" w:eastAsia="Times New Roman" w:hAnsi="Times New Roman" w:cs="Times New Roman"/>
          <w:color w:val="000000"/>
          <w:sz w:val="20"/>
          <w:szCs w:val="20"/>
          <w:lang w:eastAsia="tr-TR"/>
        </w:rPr>
        <w:t xml:space="preserve">. </w:t>
      </w:r>
      <w:r>
        <w:rPr>
          <w:rFonts w:ascii="Times New Roman" w:eastAsia="Times New Roman" w:hAnsi="Times New Roman" w:cs="Times New Roman"/>
          <w:color w:val="000000"/>
          <w:sz w:val="20"/>
          <w:szCs w:val="20"/>
          <w:lang w:eastAsia="tr-TR"/>
        </w:rPr>
        <w:t xml:space="preserve">Borsa dışı türev araç ve swap sözleşmelerin ilişkin değerleme ilkeleri belirlenirken ise bu Rehber’in ilgili bölümlerinde belirlenen esaslar dikkate alınmalıdır. </w:t>
      </w:r>
    </w:p>
    <w:p w:rsidR="00BB1D63" w:rsidRPr="00F027F9" w:rsidRDefault="00BB1D63" w:rsidP="00A054D4">
      <w:pPr>
        <w:spacing w:after="0" w:line="240" w:lineRule="atLeast"/>
        <w:ind w:firstLine="566"/>
        <w:jc w:val="both"/>
        <w:rPr>
          <w:rFonts w:ascii="Times New Roman" w:eastAsia="Times New Roman" w:hAnsi="Times New Roman" w:cs="Times New Roman"/>
          <w:color w:val="000000"/>
          <w:sz w:val="20"/>
          <w:szCs w:val="20"/>
          <w:lang w:eastAsia="tr-TR"/>
        </w:rPr>
      </w:pPr>
    </w:p>
    <w:p w:rsidR="00BB1D63" w:rsidRPr="00F027F9" w:rsidRDefault="00BB1D63" w:rsidP="00A054D4">
      <w:pPr>
        <w:pStyle w:val="FootnoteText"/>
        <w:rPr>
          <w:lang w:val="tr-TR"/>
        </w:rPr>
      </w:pPr>
    </w:p>
  </w:footnote>
  <w:footnote w:id="30">
    <w:p w:rsidR="00BB1D63" w:rsidRDefault="00BB1D63" w:rsidP="00E47EB9">
      <w:pPr>
        <w:pStyle w:val="FootnoteText"/>
      </w:pPr>
      <w:r>
        <w:rPr>
          <w:rStyle w:val="FootnoteReference"/>
        </w:rPr>
        <w:footnoteRef/>
      </w:r>
      <w:r>
        <w:t xml:space="preserve"> Fon toplam değeri üzerinden hesaplanır.</w:t>
      </w:r>
    </w:p>
  </w:footnote>
  <w:footnote w:id="31">
    <w:p w:rsidR="00BB1D63" w:rsidRPr="0070421C" w:rsidRDefault="00BB1D63" w:rsidP="00E47EB9">
      <w:pPr>
        <w:pStyle w:val="FootnoteText"/>
        <w:rPr>
          <w:b/>
        </w:rPr>
      </w:pPr>
      <w:r>
        <w:rPr>
          <w:rStyle w:val="FootnoteReference"/>
        </w:rPr>
        <w:footnoteRef/>
      </w:r>
      <w:r>
        <w:t xml:space="preserve"> Borsa dışı ters repo sözleşmeleri için </w:t>
      </w:r>
      <w:r w:rsidRPr="0070421C">
        <w:t>fon toplam değerinin en fazla %10’una kadar yatırım yapılabilir.</w:t>
      </w:r>
    </w:p>
  </w:footnote>
  <w:footnote w:id="32">
    <w:p w:rsidR="00BB1D63" w:rsidRDefault="00BB1D63" w:rsidP="00E47EB9">
      <w:pPr>
        <w:pStyle w:val="FootnoteText"/>
      </w:pPr>
      <w:r>
        <w:rPr>
          <w:rStyle w:val="FootnoteReference"/>
        </w:rPr>
        <w:footnoteRef/>
      </w:r>
      <w:r>
        <w:t xml:space="preserve"> İlgili hesaplama Fon Tebliği’nde yer alan esaslar çerçevesinde yapılır. </w:t>
      </w:r>
    </w:p>
  </w:footnote>
  <w:footnote w:id="33">
    <w:p w:rsidR="00BB1D63" w:rsidRDefault="00BB1D63" w:rsidP="00067CD9">
      <w:pPr>
        <w:pStyle w:val="FootnoteText"/>
        <w:jc w:val="both"/>
      </w:pPr>
      <w:r>
        <w:rPr>
          <w:rStyle w:val="FootnoteReference"/>
        </w:rPr>
        <w:footnoteRef/>
      </w:r>
      <w:r w:rsidRPr="00C353F6">
        <w:rPr>
          <w:rFonts w:ascii="Times New Roman" w:hAnsi="Times New Roman" w:cs="Times New Roman"/>
        </w:rPr>
        <w:t>12 Aralık 2013 tarihindeki</w:t>
      </w:r>
      <w:r>
        <w:rPr>
          <w:rFonts w:ascii="Times New Roman" w:hAnsi="Times New Roman" w:cs="Times New Roman"/>
        </w:rPr>
        <w:t xml:space="preserve"> </w:t>
      </w:r>
      <w:r w:rsidRPr="00C353F6">
        <w:rPr>
          <w:rFonts w:ascii="Times New Roman" w:hAnsi="Times New Roman" w:cs="Times New Roman"/>
        </w:rPr>
        <w:t>tedavüldeki pay sayısı, 11 Aralık 2013 tarihindeki</w:t>
      </w:r>
      <w:r>
        <w:rPr>
          <w:rFonts w:ascii="Times New Roman" w:hAnsi="Times New Roman" w:cs="Times New Roman"/>
        </w:rPr>
        <w:t xml:space="preserve"> </w:t>
      </w:r>
      <w:r w:rsidRPr="00C353F6">
        <w:rPr>
          <w:rFonts w:ascii="Times New Roman" w:hAnsi="Times New Roman" w:cs="Times New Roman"/>
        </w:rPr>
        <w:t xml:space="preserve">tedavüldeki pay sayısına, 11 Aralık 2013 saat </w:t>
      </w:r>
      <w:r>
        <w:rPr>
          <w:rFonts w:ascii="Times New Roman" w:hAnsi="Times New Roman" w:cs="Times New Roman"/>
        </w:rPr>
        <w:t>13:</w:t>
      </w:r>
      <w:r w:rsidRPr="00C353F6">
        <w:rPr>
          <w:rFonts w:ascii="Times New Roman" w:hAnsi="Times New Roman" w:cs="Times New Roman"/>
        </w:rPr>
        <w:t>30’a kadar</w:t>
      </w:r>
      <w:r>
        <w:rPr>
          <w:rFonts w:ascii="Times New Roman" w:hAnsi="Times New Roman" w:cs="Times New Roman"/>
        </w:rPr>
        <w:t xml:space="preserve"> </w:t>
      </w:r>
      <w:r w:rsidRPr="00C353F6">
        <w:rPr>
          <w:rFonts w:ascii="Times New Roman" w:hAnsi="Times New Roman" w:cs="Times New Roman"/>
        </w:rPr>
        <w:t>iletilen</w:t>
      </w:r>
      <w:r>
        <w:rPr>
          <w:rFonts w:ascii="Times New Roman" w:hAnsi="Times New Roman" w:cs="Times New Roman"/>
        </w:rPr>
        <w:t xml:space="preserve"> </w:t>
      </w:r>
      <w:r w:rsidRPr="00C353F6">
        <w:rPr>
          <w:rFonts w:ascii="Times New Roman" w:hAnsi="Times New Roman" w:cs="Times New Roman"/>
        </w:rPr>
        <w:t>alımlar</w:t>
      </w:r>
      <w:r>
        <w:rPr>
          <w:rFonts w:ascii="Times New Roman" w:hAnsi="Times New Roman" w:cs="Times New Roman"/>
        </w:rPr>
        <w:t xml:space="preserve"> </w:t>
      </w:r>
      <w:r w:rsidRPr="00C353F6">
        <w:rPr>
          <w:rFonts w:ascii="Times New Roman" w:hAnsi="Times New Roman" w:cs="Times New Roman"/>
        </w:rPr>
        <w:t>eklenip</w:t>
      </w:r>
      <w:r>
        <w:rPr>
          <w:rFonts w:ascii="Times New Roman" w:hAnsi="Times New Roman" w:cs="Times New Roman"/>
        </w:rPr>
        <w:t xml:space="preserve"> </w:t>
      </w:r>
      <w:r w:rsidRPr="00C353F6">
        <w:rPr>
          <w:rFonts w:ascii="Times New Roman" w:hAnsi="Times New Roman" w:cs="Times New Roman"/>
        </w:rPr>
        <w:t>satımlar</w:t>
      </w:r>
      <w:r>
        <w:rPr>
          <w:rFonts w:ascii="Times New Roman" w:hAnsi="Times New Roman" w:cs="Times New Roman"/>
        </w:rPr>
        <w:t xml:space="preserve"> </w:t>
      </w:r>
      <w:r w:rsidRPr="00C353F6">
        <w:rPr>
          <w:rFonts w:ascii="Times New Roman" w:hAnsi="Times New Roman" w:cs="Times New Roman"/>
        </w:rPr>
        <w:t>düşülerek</w:t>
      </w:r>
      <w:r>
        <w:rPr>
          <w:rFonts w:ascii="Times New Roman" w:hAnsi="Times New Roman" w:cs="Times New Roman"/>
        </w:rPr>
        <w:t xml:space="preserve"> </w:t>
      </w:r>
      <w:r w:rsidRPr="00C353F6">
        <w:rPr>
          <w:rFonts w:ascii="Times New Roman" w:hAnsi="Times New Roman" w:cs="Times New Roman"/>
        </w:rPr>
        <w:t>bulunur. (200.000+15.000-5.000)</w:t>
      </w:r>
    </w:p>
  </w:footnote>
  <w:footnote w:id="34">
    <w:p w:rsidR="00BB1D63" w:rsidRDefault="00BB1D63" w:rsidP="00067CD9">
      <w:pPr>
        <w:pStyle w:val="FootnoteText"/>
        <w:jc w:val="both"/>
      </w:pPr>
      <w:r>
        <w:rPr>
          <w:rStyle w:val="FootnoteReference"/>
        </w:rPr>
        <w:footnoteRef/>
      </w:r>
      <w:r w:rsidRPr="00C353F6">
        <w:rPr>
          <w:rFonts w:ascii="Times New Roman" w:hAnsi="Times New Roman" w:cs="Times New Roman"/>
        </w:rPr>
        <w:t>11 Aralık 2013 tarihindeki</w:t>
      </w:r>
      <w:r>
        <w:rPr>
          <w:rFonts w:ascii="Times New Roman" w:hAnsi="Times New Roman" w:cs="Times New Roman"/>
        </w:rPr>
        <w:t xml:space="preserve"> </w:t>
      </w:r>
      <w:r w:rsidRPr="00C353F6">
        <w:rPr>
          <w:rFonts w:ascii="Times New Roman" w:hAnsi="Times New Roman" w:cs="Times New Roman"/>
        </w:rPr>
        <w:t>tedavüldeki pay sayısına</w:t>
      </w:r>
      <w:r>
        <w:rPr>
          <w:rFonts w:ascii="Times New Roman" w:hAnsi="Times New Roman" w:cs="Times New Roman"/>
        </w:rPr>
        <w:t xml:space="preserve"> </w:t>
      </w:r>
      <w:r w:rsidRPr="00C353F6">
        <w:rPr>
          <w:rFonts w:ascii="Times New Roman" w:hAnsi="Times New Roman" w:cs="Times New Roman"/>
        </w:rPr>
        <w:t>alımlar</w:t>
      </w:r>
      <w:r>
        <w:rPr>
          <w:rFonts w:ascii="Times New Roman" w:hAnsi="Times New Roman" w:cs="Times New Roman"/>
        </w:rPr>
        <w:t xml:space="preserve"> </w:t>
      </w:r>
      <w:r w:rsidRPr="00C353F6">
        <w:rPr>
          <w:rFonts w:ascii="Times New Roman" w:hAnsi="Times New Roman" w:cs="Times New Roman"/>
        </w:rPr>
        <w:t>eklenip</w:t>
      </w:r>
      <w:r>
        <w:rPr>
          <w:rFonts w:ascii="Times New Roman" w:hAnsi="Times New Roman" w:cs="Times New Roman"/>
        </w:rPr>
        <w:t xml:space="preserve"> </w:t>
      </w:r>
      <w:r w:rsidRPr="00C353F6">
        <w:rPr>
          <w:rFonts w:ascii="Times New Roman" w:hAnsi="Times New Roman" w:cs="Times New Roman"/>
        </w:rPr>
        <w:t>satımlar</w:t>
      </w:r>
      <w:r>
        <w:rPr>
          <w:rFonts w:ascii="Times New Roman" w:hAnsi="Times New Roman" w:cs="Times New Roman"/>
        </w:rPr>
        <w:t xml:space="preserve"> </w:t>
      </w:r>
      <w:r w:rsidRPr="00C353F6">
        <w:rPr>
          <w:rFonts w:ascii="Times New Roman" w:hAnsi="Times New Roman" w:cs="Times New Roman"/>
        </w:rPr>
        <w:t>düşülerek</w:t>
      </w:r>
      <w:r>
        <w:rPr>
          <w:rFonts w:ascii="Times New Roman" w:hAnsi="Times New Roman" w:cs="Times New Roman"/>
        </w:rPr>
        <w:t xml:space="preserve"> </w:t>
      </w:r>
      <w:r w:rsidRPr="00C353F6">
        <w:rPr>
          <w:rFonts w:ascii="Times New Roman" w:hAnsi="Times New Roman" w:cs="Times New Roman"/>
        </w:rPr>
        <w:t>bulunur (1.000.000+150.000-50.000). Pay alım</w:t>
      </w:r>
      <w:r>
        <w:rPr>
          <w:rFonts w:ascii="Times New Roman" w:hAnsi="Times New Roman" w:cs="Times New Roman"/>
        </w:rPr>
        <w:t xml:space="preserve"> </w:t>
      </w:r>
      <w:r w:rsidRPr="00C353F6">
        <w:rPr>
          <w:rFonts w:ascii="Times New Roman" w:hAnsi="Times New Roman" w:cs="Times New Roman"/>
        </w:rPr>
        <w:t>satım</w:t>
      </w:r>
      <w:r>
        <w:rPr>
          <w:rFonts w:ascii="Times New Roman" w:hAnsi="Times New Roman" w:cs="Times New Roman"/>
        </w:rPr>
        <w:t xml:space="preserve"> </w:t>
      </w:r>
      <w:r w:rsidRPr="00C353F6">
        <w:rPr>
          <w:rFonts w:ascii="Times New Roman" w:hAnsi="Times New Roman" w:cs="Times New Roman"/>
        </w:rPr>
        <w:t>işlemleri 10 Aralık</w:t>
      </w:r>
      <w:r>
        <w:rPr>
          <w:rFonts w:ascii="Times New Roman" w:hAnsi="Times New Roman" w:cs="Times New Roman"/>
        </w:rPr>
        <w:t xml:space="preserve"> </w:t>
      </w:r>
      <w:r w:rsidRPr="00C353F6">
        <w:rPr>
          <w:rFonts w:ascii="Times New Roman" w:hAnsi="Times New Roman" w:cs="Times New Roman"/>
        </w:rPr>
        <w:t>2013’te</w:t>
      </w:r>
      <w:r>
        <w:rPr>
          <w:rFonts w:ascii="Times New Roman" w:hAnsi="Times New Roman" w:cs="Times New Roman"/>
        </w:rPr>
        <w:t xml:space="preserve"> </w:t>
      </w:r>
      <w:r w:rsidRPr="00C353F6">
        <w:rPr>
          <w:rFonts w:ascii="Times New Roman" w:hAnsi="Times New Roman" w:cs="Times New Roman"/>
        </w:rPr>
        <w:t>geçerli</w:t>
      </w:r>
      <w:r>
        <w:rPr>
          <w:rFonts w:ascii="Times New Roman" w:hAnsi="Times New Roman" w:cs="Times New Roman"/>
        </w:rPr>
        <w:t xml:space="preserve"> </w:t>
      </w:r>
      <w:r w:rsidRPr="00C353F6">
        <w:rPr>
          <w:rFonts w:ascii="Times New Roman" w:hAnsi="Times New Roman" w:cs="Times New Roman"/>
        </w:rPr>
        <w:t>olan</w:t>
      </w:r>
      <w:r>
        <w:rPr>
          <w:rFonts w:ascii="Times New Roman" w:hAnsi="Times New Roman" w:cs="Times New Roman"/>
        </w:rPr>
        <w:t xml:space="preserve"> </w:t>
      </w:r>
      <w:r w:rsidRPr="00C353F6">
        <w:rPr>
          <w:rFonts w:ascii="Times New Roman" w:hAnsi="Times New Roman" w:cs="Times New Roman"/>
        </w:rPr>
        <w:t>birim pay fiyatı (10 TL) üzerinden</w:t>
      </w:r>
      <w:r>
        <w:rPr>
          <w:rFonts w:ascii="Times New Roman" w:hAnsi="Times New Roman" w:cs="Times New Roman"/>
        </w:rPr>
        <w:t xml:space="preserve"> </w:t>
      </w:r>
      <w:r w:rsidRPr="00C353F6">
        <w:rPr>
          <w:rFonts w:ascii="Times New Roman" w:hAnsi="Times New Roman" w:cs="Times New Roman"/>
        </w:rPr>
        <w:t xml:space="preserve">gerçekleştirilecektir.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7436"/>
    <w:multiLevelType w:val="hybridMultilevel"/>
    <w:tmpl w:val="6B285824"/>
    <w:lvl w:ilvl="0" w:tplc="041F0017">
      <w:start w:val="1"/>
      <w:numFmt w:val="lowerLetter"/>
      <w:lvlText w:val="%1)"/>
      <w:lvlJc w:val="left"/>
      <w:pPr>
        <w:ind w:left="360"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 w15:restartNumberingAfterBreak="0">
    <w:nsid w:val="0382423B"/>
    <w:multiLevelType w:val="multilevel"/>
    <w:tmpl w:val="4EF446A0"/>
    <w:lvl w:ilvl="0">
      <w:start w:val="1"/>
      <w:numFmt w:val="lowerRoman"/>
      <w:lvlText w:val="%1."/>
      <w:lvlJc w:val="right"/>
      <w:pPr>
        <w:tabs>
          <w:tab w:val="num" w:pos="360"/>
        </w:tabs>
        <w:ind w:left="360" w:hanging="360"/>
      </w:pPr>
      <w:rPr>
        <w:rFonts w:hint="default"/>
        <w:sz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3DD7585"/>
    <w:multiLevelType w:val="hybridMultilevel"/>
    <w:tmpl w:val="92A67A90"/>
    <w:lvl w:ilvl="0" w:tplc="041F0017">
      <w:start w:val="1"/>
      <w:numFmt w:val="lowerLetter"/>
      <w:lvlText w:val="%1)"/>
      <w:lvlJc w:val="left"/>
      <w:pPr>
        <w:ind w:left="1636" w:hanging="360"/>
      </w:pPr>
      <w:rPr>
        <w:rFonts w:hint="default"/>
      </w:rPr>
    </w:lvl>
    <w:lvl w:ilvl="1" w:tplc="041F001B">
      <w:start w:val="1"/>
      <w:numFmt w:val="lowerRoman"/>
      <w:lvlText w:val="%2."/>
      <w:lvlJc w:val="right"/>
      <w:pPr>
        <w:ind w:left="2356" w:hanging="360"/>
      </w:pPr>
    </w:lvl>
    <w:lvl w:ilvl="2" w:tplc="041F001B">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abstractNum w:abstractNumId="3" w15:restartNumberingAfterBreak="0">
    <w:nsid w:val="0487500C"/>
    <w:multiLevelType w:val="hybridMultilevel"/>
    <w:tmpl w:val="7700C296"/>
    <w:lvl w:ilvl="0" w:tplc="7AF6AC54">
      <w:start w:val="1"/>
      <w:numFmt w:val="lowerLetter"/>
      <w:lvlText w:val="%1)"/>
      <w:lvlJc w:val="left"/>
      <w:pPr>
        <w:ind w:left="1776" w:hanging="360"/>
      </w:pPr>
      <w:rPr>
        <w:b w:val="0"/>
      </w:rPr>
    </w:lvl>
    <w:lvl w:ilvl="1" w:tplc="041F0019">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 w15:restartNumberingAfterBreak="0">
    <w:nsid w:val="08C65040"/>
    <w:multiLevelType w:val="multilevel"/>
    <w:tmpl w:val="35624450"/>
    <w:lvl w:ilvl="0">
      <w:start w:val="1"/>
      <w:numFmt w:val="lowerLetter"/>
      <w:lvlText w:val="%1)"/>
      <w:lvlJc w:val="left"/>
      <w:pPr>
        <w:tabs>
          <w:tab w:val="num" w:pos="720"/>
        </w:tabs>
        <w:ind w:left="720" w:hanging="360"/>
      </w:pPr>
      <w:rPr>
        <w:rFonts w:hint="default"/>
        <w:sz w:val="24"/>
      </w:rPr>
    </w:lvl>
    <w:lvl w:ilvl="1">
      <w:start w:val="2"/>
      <w:numFmt w:val="bullet"/>
      <w:lvlText w:val="-"/>
      <w:lvlJc w:val="left"/>
      <w:pPr>
        <w:ind w:left="1440" w:hanging="360"/>
      </w:pPr>
      <w:rPr>
        <w:rFonts w:ascii="Times New Roman" w:eastAsiaTheme="minorHAnsi" w:hAnsi="Times New Roman" w:cs="Times New Roman" w:hint="default"/>
      </w:rPr>
    </w:lvl>
    <w:lvl w:ilvl="2">
      <w:start w:val="1"/>
      <w:numFmt w:val="upperLetter"/>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low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F50278"/>
    <w:multiLevelType w:val="hybridMultilevel"/>
    <w:tmpl w:val="E6063B92"/>
    <w:lvl w:ilvl="0" w:tplc="041F0017">
      <w:start w:val="1"/>
      <w:numFmt w:val="lowerLetter"/>
      <w:lvlText w:val="%1)"/>
      <w:lvlJc w:val="left"/>
      <w:pPr>
        <w:ind w:left="1070" w:hanging="360"/>
      </w:p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6" w15:restartNumberingAfterBreak="0">
    <w:nsid w:val="0C5E2D68"/>
    <w:multiLevelType w:val="hybridMultilevel"/>
    <w:tmpl w:val="57745A1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C9E4C78"/>
    <w:multiLevelType w:val="hybridMultilevel"/>
    <w:tmpl w:val="CA26A2EE"/>
    <w:lvl w:ilvl="0" w:tplc="F86A9A74">
      <w:start w:val="1"/>
      <w:numFmt w:val="lowerRoman"/>
      <w:lvlText w:val="%1."/>
      <w:lvlJc w:val="right"/>
      <w:pPr>
        <w:ind w:left="3338" w:hanging="360"/>
      </w:pPr>
      <w:rPr>
        <w:rFonts w:ascii="Times New Roman" w:hAnsi="Times New Roman" w:cs="Times New Roman" w:hint="default"/>
        <w:sz w:val="24"/>
        <w:szCs w:val="24"/>
      </w:rPr>
    </w:lvl>
    <w:lvl w:ilvl="1" w:tplc="041F0019" w:tentative="1">
      <w:start w:val="1"/>
      <w:numFmt w:val="lowerLetter"/>
      <w:lvlText w:val="%2."/>
      <w:lvlJc w:val="left"/>
      <w:pPr>
        <w:ind w:left="4058" w:hanging="360"/>
      </w:pPr>
    </w:lvl>
    <w:lvl w:ilvl="2" w:tplc="041F001B" w:tentative="1">
      <w:start w:val="1"/>
      <w:numFmt w:val="lowerRoman"/>
      <w:lvlText w:val="%3."/>
      <w:lvlJc w:val="right"/>
      <w:pPr>
        <w:ind w:left="4778" w:hanging="180"/>
      </w:pPr>
    </w:lvl>
    <w:lvl w:ilvl="3" w:tplc="041F000F" w:tentative="1">
      <w:start w:val="1"/>
      <w:numFmt w:val="decimal"/>
      <w:lvlText w:val="%4."/>
      <w:lvlJc w:val="left"/>
      <w:pPr>
        <w:ind w:left="5498" w:hanging="360"/>
      </w:pPr>
    </w:lvl>
    <w:lvl w:ilvl="4" w:tplc="041F0019" w:tentative="1">
      <w:start w:val="1"/>
      <w:numFmt w:val="lowerLetter"/>
      <w:lvlText w:val="%5."/>
      <w:lvlJc w:val="left"/>
      <w:pPr>
        <w:ind w:left="6218" w:hanging="360"/>
      </w:pPr>
    </w:lvl>
    <w:lvl w:ilvl="5" w:tplc="041F001B" w:tentative="1">
      <w:start w:val="1"/>
      <w:numFmt w:val="lowerRoman"/>
      <w:lvlText w:val="%6."/>
      <w:lvlJc w:val="right"/>
      <w:pPr>
        <w:ind w:left="6938" w:hanging="180"/>
      </w:pPr>
    </w:lvl>
    <w:lvl w:ilvl="6" w:tplc="041F000F" w:tentative="1">
      <w:start w:val="1"/>
      <w:numFmt w:val="decimal"/>
      <w:lvlText w:val="%7."/>
      <w:lvlJc w:val="left"/>
      <w:pPr>
        <w:ind w:left="7658" w:hanging="360"/>
      </w:pPr>
    </w:lvl>
    <w:lvl w:ilvl="7" w:tplc="041F0019" w:tentative="1">
      <w:start w:val="1"/>
      <w:numFmt w:val="lowerLetter"/>
      <w:lvlText w:val="%8."/>
      <w:lvlJc w:val="left"/>
      <w:pPr>
        <w:ind w:left="8378" w:hanging="360"/>
      </w:pPr>
    </w:lvl>
    <w:lvl w:ilvl="8" w:tplc="041F001B" w:tentative="1">
      <w:start w:val="1"/>
      <w:numFmt w:val="lowerRoman"/>
      <w:lvlText w:val="%9."/>
      <w:lvlJc w:val="right"/>
      <w:pPr>
        <w:ind w:left="9098" w:hanging="180"/>
      </w:pPr>
    </w:lvl>
  </w:abstractNum>
  <w:abstractNum w:abstractNumId="8" w15:restartNumberingAfterBreak="0">
    <w:nsid w:val="0D082AEC"/>
    <w:multiLevelType w:val="hybridMultilevel"/>
    <w:tmpl w:val="D0AA9BDC"/>
    <w:lvl w:ilvl="0" w:tplc="041F0017">
      <w:start w:val="1"/>
      <w:numFmt w:val="lowerLetter"/>
      <w:lvlText w:val="%1)"/>
      <w:lvlJc w:val="left"/>
      <w:pPr>
        <w:ind w:left="1287" w:hanging="360"/>
      </w:pPr>
      <w:rPr>
        <w:rFonts w:hint="default"/>
      </w:rPr>
    </w:lvl>
    <w:lvl w:ilvl="1" w:tplc="B41AD052">
      <w:start w:val="1"/>
      <w:numFmt w:val="lowerRoman"/>
      <w:lvlText w:val="(%2)"/>
      <w:lvlJc w:val="left"/>
      <w:pPr>
        <w:ind w:left="2367" w:hanging="720"/>
      </w:pPr>
      <w:rPr>
        <w:rFonts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9" w15:restartNumberingAfterBreak="0">
    <w:nsid w:val="0D7321A7"/>
    <w:multiLevelType w:val="hybridMultilevel"/>
    <w:tmpl w:val="91BEB2EE"/>
    <w:lvl w:ilvl="0" w:tplc="518CCB44">
      <w:start w:val="1"/>
      <w:numFmt w:val="lowerRoman"/>
      <w:lvlText w:val="%1."/>
      <w:lvlJc w:val="right"/>
      <w:pPr>
        <w:ind w:left="2160" w:hanging="360"/>
      </w:pPr>
      <w:rPr>
        <w:rFonts w:ascii="Times New Roman" w:hAnsi="Times New Roman" w:cs="Times New Roman" w:hint="default"/>
        <w:sz w:val="24"/>
        <w:szCs w:val="24"/>
      </w:rPr>
    </w:lvl>
    <w:lvl w:ilvl="1" w:tplc="C4E65600">
      <w:start w:val="1"/>
      <w:numFmt w:val="lowerLetter"/>
      <w:lvlText w:val="%2)"/>
      <w:lvlJc w:val="left"/>
      <w:pPr>
        <w:ind w:left="2520" w:firstLine="0"/>
      </w:pPr>
      <w:rPr>
        <w:rFonts w:ascii="CenturySchoolbook" w:hAnsi="CenturySchoolbook" w:cs="CenturySchoolbook" w:hint="default"/>
        <w:b w:val="0"/>
        <w:sz w:val="24"/>
      </w:r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0" w15:restartNumberingAfterBreak="0">
    <w:nsid w:val="0DC01E2A"/>
    <w:multiLevelType w:val="hybridMultilevel"/>
    <w:tmpl w:val="CD5604A8"/>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1" w15:restartNumberingAfterBreak="0">
    <w:nsid w:val="0F4867DA"/>
    <w:multiLevelType w:val="hybridMultilevel"/>
    <w:tmpl w:val="91BEB2EE"/>
    <w:lvl w:ilvl="0" w:tplc="518CCB44">
      <w:start w:val="1"/>
      <w:numFmt w:val="lowerRoman"/>
      <w:lvlText w:val="%1."/>
      <w:lvlJc w:val="right"/>
      <w:pPr>
        <w:ind w:left="2160" w:hanging="360"/>
      </w:pPr>
      <w:rPr>
        <w:rFonts w:ascii="Times New Roman" w:hAnsi="Times New Roman" w:cs="Times New Roman" w:hint="default"/>
        <w:sz w:val="24"/>
        <w:szCs w:val="24"/>
      </w:rPr>
    </w:lvl>
    <w:lvl w:ilvl="1" w:tplc="C4E65600">
      <w:start w:val="1"/>
      <w:numFmt w:val="lowerLetter"/>
      <w:lvlText w:val="%2)"/>
      <w:lvlJc w:val="left"/>
      <w:pPr>
        <w:ind w:left="2520" w:firstLine="0"/>
      </w:pPr>
      <w:rPr>
        <w:rFonts w:ascii="CenturySchoolbook" w:hAnsi="CenturySchoolbook" w:cs="CenturySchoolbook" w:hint="default"/>
        <w:b w:val="0"/>
        <w:sz w:val="24"/>
      </w:r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2" w15:restartNumberingAfterBreak="0">
    <w:nsid w:val="13085C39"/>
    <w:multiLevelType w:val="hybridMultilevel"/>
    <w:tmpl w:val="84ECF858"/>
    <w:lvl w:ilvl="0" w:tplc="041F001B">
      <w:start w:val="1"/>
      <w:numFmt w:val="lowerRoman"/>
      <w:lvlText w:val="%1."/>
      <w:lvlJc w:val="right"/>
      <w:pPr>
        <w:ind w:left="1647" w:hanging="360"/>
      </w:pPr>
    </w:lvl>
    <w:lvl w:ilvl="1" w:tplc="041F0019" w:tentative="1">
      <w:start w:val="1"/>
      <w:numFmt w:val="lowerLetter"/>
      <w:lvlText w:val="%2."/>
      <w:lvlJc w:val="left"/>
      <w:pPr>
        <w:ind w:left="2367" w:hanging="360"/>
      </w:pPr>
    </w:lvl>
    <w:lvl w:ilvl="2" w:tplc="041F001B" w:tentative="1">
      <w:start w:val="1"/>
      <w:numFmt w:val="lowerRoman"/>
      <w:lvlText w:val="%3."/>
      <w:lvlJc w:val="right"/>
      <w:pPr>
        <w:ind w:left="3087" w:hanging="180"/>
      </w:pPr>
    </w:lvl>
    <w:lvl w:ilvl="3" w:tplc="041F000F" w:tentative="1">
      <w:start w:val="1"/>
      <w:numFmt w:val="decimal"/>
      <w:lvlText w:val="%4."/>
      <w:lvlJc w:val="left"/>
      <w:pPr>
        <w:ind w:left="3807" w:hanging="360"/>
      </w:pPr>
    </w:lvl>
    <w:lvl w:ilvl="4" w:tplc="041F0019" w:tentative="1">
      <w:start w:val="1"/>
      <w:numFmt w:val="lowerLetter"/>
      <w:lvlText w:val="%5."/>
      <w:lvlJc w:val="left"/>
      <w:pPr>
        <w:ind w:left="4527" w:hanging="360"/>
      </w:pPr>
    </w:lvl>
    <w:lvl w:ilvl="5" w:tplc="041F001B" w:tentative="1">
      <w:start w:val="1"/>
      <w:numFmt w:val="lowerRoman"/>
      <w:lvlText w:val="%6."/>
      <w:lvlJc w:val="right"/>
      <w:pPr>
        <w:ind w:left="5247" w:hanging="180"/>
      </w:pPr>
    </w:lvl>
    <w:lvl w:ilvl="6" w:tplc="041F000F" w:tentative="1">
      <w:start w:val="1"/>
      <w:numFmt w:val="decimal"/>
      <w:lvlText w:val="%7."/>
      <w:lvlJc w:val="left"/>
      <w:pPr>
        <w:ind w:left="5967" w:hanging="360"/>
      </w:pPr>
    </w:lvl>
    <w:lvl w:ilvl="7" w:tplc="041F0019" w:tentative="1">
      <w:start w:val="1"/>
      <w:numFmt w:val="lowerLetter"/>
      <w:lvlText w:val="%8."/>
      <w:lvlJc w:val="left"/>
      <w:pPr>
        <w:ind w:left="6687" w:hanging="360"/>
      </w:pPr>
    </w:lvl>
    <w:lvl w:ilvl="8" w:tplc="041F001B" w:tentative="1">
      <w:start w:val="1"/>
      <w:numFmt w:val="lowerRoman"/>
      <w:lvlText w:val="%9."/>
      <w:lvlJc w:val="right"/>
      <w:pPr>
        <w:ind w:left="7407" w:hanging="180"/>
      </w:pPr>
    </w:lvl>
  </w:abstractNum>
  <w:abstractNum w:abstractNumId="13" w15:restartNumberingAfterBreak="0">
    <w:nsid w:val="13B83306"/>
    <w:multiLevelType w:val="hybridMultilevel"/>
    <w:tmpl w:val="62D4EDF4"/>
    <w:lvl w:ilvl="0" w:tplc="041F001B">
      <w:start w:val="1"/>
      <w:numFmt w:val="lowerRoman"/>
      <w:lvlText w:val="%1."/>
      <w:lvlJc w:val="righ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14" w15:restartNumberingAfterBreak="0">
    <w:nsid w:val="15D94B25"/>
    <w:multiLevelType w:val="hybridMultilevel"/>
    <w:tmpl w:val="29C85068"/>
    <w:lvl w:ilvl="0" w:tplc="041F001B">
      <w:start w:val="1"/>
      <w:numFmt w:val="lowerRoman"/>
      <w:lvlText w:val="%1."/>
      <w:lvlJc w:val="righ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15" w15:restartNumberingAfterBreak="0">
    <w:nsid w:val="16B553AC"/>
    <w:multiLevelType w:val="hybridMultilevel"/>
    <w:tmpl w:val="5894942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6EB59BF"/>
    <w:multiLevelType w:val="hybridMultilevel"/>
    <w:tmpl w:val="E6063B92"/>
    <w:lvl w:ilvl="0" w:tplc="041F0017">
      <w:start w:val="1"/>
      <w:numFmt w:val="lowerLetter"/>
      <w:lvlText w:val="%1)"/>
      <w:lvlJc w:val="left"/>
      <w:pPr>
        <w:ind w:left="1070" w:hanging="360"/>
      </w:p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7" w15:restartNumberingAfterBreak="0">
    <w:nsid w:val="17A975F7"/>
    <w:multiLevelType w:val="multilevel"/>
    <w:tmpl w:val="8432F430"/>
    <w:lvl w:ilvl="0">
      <w:start w:val="1"/>
      <w:numFmt w:val="lowerLetter"/>
      <w:lvlText w:val="%1)"/>
      <w:lvlJc w:val="left"/>
      <w:pPr>
        <w:tabs>
          <w:tab w:val="num" w:pos="502"/>
        </w:tabs>
        <w:ind w:left="502" w:hanging="360"/>
      </w:pPr>
      <w:rPr>
        <w:rFonts w:hint="default"/>
        <w:sz w:val="24"/>
      </w:rPr>
    </w:lvl>
    <w:lvl w:ilvl="1">
      <w:start w:val="2"/>
      <w:numFmt w:val="bullet"/>
      <w:lvlText w:val="-"/>
      <w:lvlJc w:val="left"/>
      <w:pPr>
        <w:ind w:left="1440" w:hanging="360"/>
      </w:pPr>
      <w:rPr>
        <w:rFonts w:ascii="Times New Roman" w:eastAsiaTheme="minorHAnsi" w:hAnsi="Times New Roman" w:cs="Times New Roman"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9C95949"/>
    <w:multiLevelType w:val="hybridMultilevel"/>
    <w:tmpl w:val="73CE0AB0"/>
    <w:lvl w:ilvl="0" w:tplc="99EC5DD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15:restartNumberingAfterBreak="0">
    <w:nsid w:val="19DB2C4C"/>
    <w:multiLevelType w:val="hybridMultilevel"/>
    <w:tmpl w:val="3B4A114A"/>
    <w:lvl w:ilvl="0" w:tplc="041F001B">
      <w:start w:val="1"/>
      <w:numFmt w:val="low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15:restartNumberingAfterBreak="0">
    <w:nsid w:val="1A960F9B"/>
    <w:multiLevelType w:val="multilevel"/>
    <w:tmpl w:val="8432F430"/>
    <w:lvl w:ilvl="0">
      <w:start w:val="1"/>
      <w:numFmt w:val="lowerLetter"/>
      <w:lvlText w:val="%1)"/>
      <w:lvlJc w:val="left"/>
      <w:pPr>
        <w:tabs>
          <w:tab w:val="num" w:pos="720"/>
        </w:tabs>
        <w:ind w:left="720" w:hanging="360"/>
      </w:pPr>
      <w:rPr>
        <w:rFonts w:hint="default"/>
        <w:sz w:val="24"/>
      </w:rPr>
    </w:lvl>
    <w:lvl w:ilvl="1">
      <w:start w:val="2"/>
      <w:numFmt w:val="bullet"/>
      <w:lvlText w:val="-"/>
      <w:lvlJc w:val="left"/>
      <w:pPr>
        <w:ind w:left="1440" w:hanging="360"/>
      </w:pPr>
      <w:rPr>
        <w:rFonts w:ascii="Times New Roman" w:eastAsiaTheme="minorHAnsi" w:hAnsi="Times New Roman" w:cs="Times New Roman"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E9E4680"/>
    <w:multiLevelType w:val="hybridMultilevel"/>
    <w:tmpl w:val="63C85024"/>
    <w:lvl w:ilvl="0" w:tplc="045446F8">
      <w:start w:val="1"/>
      <w:numFmt w:val="lowerLetter"/>
      <w:lvlText w:val="%1)"/>
      <w:lvlJc w:val="left"/>
      <w:pPr>
        <w:ind w:left="720" w:hanging="360"/>
      </w:pPr>
      <w:rPr>
        <w:rFonts w:ascii="Times New Roman" w:hAnsi="Times New Roman" w:cs="Times New Roman"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21E340CC"/>
    <w:multiLevelType w:val="hybridMultilevel"/>
    <w:tmpl w:val="ADB6B0E8"/>
    <w:lvl w:ilvl="0" w:tplc="55FE5080">
      <w:start w:val="1"/>
      <w:numFmt w:val="lowerRoman"/>
      <w:lvlText w:val="%1."/>
      <w:lvlJc w:val="right"/>
      <w:pPr>
        <w:ind w:left="1440" w:hanging="360"/>
      </w:pPr>
      <w:rPr>
        <w:rFonts w:ascii="Times New Roman" w:hAnsi="Times New Roman" w:cs="Times New Roman"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15:restartNumberingAfterBreak="0">
    <w:nsid w:val="23E52E86"/>
    <w:multiLevelType w:val="hybridMultilevel"/>
    <w:tmpl w:val="B34C0D2C"/>
    <w:lvl w:ilvl="0" w:tplc="D5243E76">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26B52B5A"/>
    <w:multiLevelType w:val="hybridMultilevel"/>
    <w:tmpl w:val="BFC80342"/>
    <w:lvl w:ilvl="0" w:tplc="368E35D0">
      <w:start w:val="1"/>
      <w:numFmt w:val="decimal"/>
      <w:lvlText w:val="%1)"/>
      <w:lvlJc w:val="left"/>
      <w:pPr>
        <w:tabs>
          <w:tab w:val="num" w:pos="1699"/>
        </w:tabs>
        <w:ind w:left="1699" w:hanging="99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25" w15:restartNumberingAfterBreak="0">
    <w:nsid w:val="27065D52"/>
    <w:multiLevelType w:val="hybridMultilevel"/>
    <w:tmpl w:val="B97A0390"/>
    <w:lvl w:ilvl="0" w:tplc="041F001B">
      <w:start w:val="1"/>
      <w:numFmt w:val="lowerRoman"/>
      <w:lvlText w:val="%1."/>
      <w:lvlJc w:val="right"/>
      <w:pPr>
        <w:ind w:left="2131" w:hanging="360"/>
      </w:pPr>
    </w:lvl>
    <w:lvl w:ilvl="1" w:tplc="041F0019" w:tentative="1">
      <w:start w:val="1"/>
      <w:numFmt w:val="lowerLetter"/>
      <w:lvlText w:val="%2."/>
      <w:lvlJc w:val="left"/>
      <w:pPr>
        <w:ind w:left="2851" w:hanging="360"/>
      </w:pPr>
    </w:lvl>
    <w:lvl w:ilvl="2" w:tplc="041F001B" w:tentative="1">
      <w:start w:val="1"/>
      <w:numFmt w:val="lowerRoman"/>
      <w:lvlText w:val="%3."/>
      <w:lvlJc w:val="right"/>
      <w:pPr>
        <w:ind w:left="3571" w:hanging="180"/>
      </w:pPr>
    </w:lvl>
    <w:lvl w:ilvl="3" w:tplc="041F000F" w:tentative="1">
      <w:start w:val="1"/>
      <w:numFmt w:val="decimal"/>
      <w:lvlText w:val="%4."/>
      <w:lvlJc w:val="left"/>
      <w:pPr>
        <w:ind w:left="4291" w:hanging="360"/>
      </w:pPr>
    </w:lvl>
    <w:lvl w:ilvl="4" w:tplc="041F0019" w:tentative="1">
      <w:start w:val="1"/>
      <w:numFmt w:val="lowerLetter"/>
      <w:lvlText w:val="%5."/>
      <w:lvlJc w:val="left"/>
      <w:pPr>
        <w:ind w:left="5011" w:hanging="360"/>
      </w:pPr>
    </w:lvl>
    <w:lvl w:ilvl="5" w:tplc="041F001B" w:tentative="1">
      <w:start w:val="1"/>
      <w:numFmt w:val="lowerRoman"/>
      <w:lvlText w:val="%6."/>
      <w:lvlJc w:val="right"/>
      <w:pPr>
        <w:ind w:left="5731" w:hanging="180"/>
      </w:pPr>
    </w:lvl>
    <w:lvl w:ilvl="6" w:tplc="041F000F" w:tentative="1">
      <w:start w:val="1"/>
      <w:numFmt w:val="decimal"/>
      <w:lvlText w:val="%7."/>
      <w:lvlJc w:val="left"/>
      <w:pPr>
        <w:ind w:left="6451" w:hanging="360"/>
      </w:pPr>
    </w:lvl>
    <w:lvl w:ilvl="7" w:tplc="041F0019" w:tentative="1">
      <w:start w:val="1"/>
      <w:numFmt w:val="lowerLetter"/>
      <w:lvlText w:val="%8."/>
      <w:lvlJc w:val="left"/>
      <w:pPr>
        <w:ind w:left="7171" w:hanging="360"/>
      </w:pPr>
    </w:lvl>
    <w:lvl w:ilvl="8" w:tplc="041F001B" w:tentative="1">
      <w:start w:val="1"/>
      <w:numFmt w:val="lowerRoman"/>
      <w:lvlText w:val="%9."/>
      <w:lvlJc w:val="right"/>
      <w:pPr>
        <w:ind w:left="7891" w:hanging="180"/>
      </w:pPr>
    </w:lvl>
  </w:abstractNum>
  <w:abstractNum w:abstractNumId="26" w15:restartNumberingAfterBreak="0">
    <w:nsid w:val="297775D7"/>
    <w:multiLevelType w:val="hybridMultilevel"/>
    <w:tmpl w:val="1A849E4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2AE25CC2"/>
    <w:multiLevelType w:val="hybridMultilevel"/>
    <w:tmpl w:val="06F2BE70"/>
    <w:lvl w:ilvl="0" w:tplc="041F001B">
      <w:start w:val="1"/>
      <w:numFmt w:val="lowerRoman"/>
      <w:lvlText w:val="%1."/>
      <w:lvlJc w:val="righ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28" w15:restartNumberingAfterBreak="0">
    <w:nsid w:val="2B837365"/>
    <w:multiLevelType w:val="hybridMultilevel"/>
    <w:tmpl w:val="5170C45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2D235BD4"/>
    <w:multiLevelType w:val="hybridMultilevel"/>
    <w:tmpl w:val="E744B1A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31054243"/>
    <w:multiLevelType w:val="hybridMultilevel"/>
    <w:tmpl w:val="6F3E3E34"/>
    <w:lvl w:ilvl="0" w:tplc="771042FE">
      <w:start w:val="1"/>
      <w:numFmt w:val="bullet"/>
      <w:lvlText w:val="-"/>
      <w:lvlJc w:val="left"/>
      <w:pPr>
        <w:ind w:left="1353" w:hanging="360"/>
      </w:pPr>
      <w:rPr>
        <w:rFonts w:ascii="Times New Roman" w:eastAsiaTheme="minorHAnsi" w:hAnsi="Times New Roman" w:cs="Times New Roman"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31" w15:restartNumberingAfterBreak="0">
    <w:nsid w:val="31454E64"/>
    <w:multiLevelType w:val="hybridMultilevel"/>
    <w:tmpl w:val="CD94599A"/>
    <w:lvl w:ilvl="0" w:tplc="041F0017">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15:restartNumberingAfterBreak="0">
    <w:nsid w:val="314602BA"/>
    <w:multiLevelType w:val="hybridMultilevel"/>
    <w:tmpl w:val="930CAF8A"/>
    <w:lvl w:ilvl="0" w:tplc="F5B600C2">
      <w:start w:val="1"/>
      <w:numFmt w:val="lowerLetter"/>
      <w:lvlText w:val="%1)"/>
      <w:lvlJc w:val="left"/>
      <w:pPr>
        <w:ind w:left="1128" w:hanging="360"/>
      </w:pPr>
      <w:rPr>
        <w:rFonts w:hint="default"/>
        <w:sz w:val="24"/>
        <w:szCs w:val="24"/>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abstractNum w:abstractNumId="33" w15:restartNumberingAfterBreak="0">
    <w:nsid w:val="32732548"/>
    <w:multiLevelType w:val="hybridMultilevel"/>
    <w:tmpl w:val="F92836E4"/>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3596023B"/>
    <w:multiLevelType w:val="hybridMultilevel"/>
    <w:tmpl w:val="3FEE2322"/>
    <w:lvl w:ilvl="0" w:tplc="329A9A22">
      <w:start w:val="1"/>
      <w:numFmt w:val="lowerLetter"/>
      <w:lvlText w:val="%1)"/>
      <w:lvlJc w:val="left"/>
      <w:pPr>
        <w:ind w:left="1287" w:hanging="360"/>
      </w:pPr>
      <w:rPr>
        <w:rFonts w:ascii="Times New Roman" w:hAnsi="Times New Roman" w:cs="Times New Roman" w:hint="default"/>
        <w:sz w:val="24"/>
        <w:szCs w:val="24"/>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5" w15:restartNumberingAfterBreak="0">
    <w:nsid w:val="35A1168A"/>
    <w:multiLevelType w:val="hybridMultilevel"/>
    <w:tmpl w:val="CA78F658"/>
    <w:lvl w:ilvl="0" w:tplc="041F0017">
      <w:start w:val="1"/>
      <w:numFmt w:val="lowerLetter"/>
      <w:lvlText w:val="%1)"/>
      <w:lvlJc w:val="left"/>
      <w:pPr>
        <w:ind w:left="2490" w:hanging="360"/>
      </w:pPr>
    </w:lvl>
    <w:lvl w:ilvl="1" w:tplc="041F0019" w:tentative="1">
      <w:start w:val="1"/>
      <w:numFmt w:val="lowerLetter"/>
      <w:lvlText w:val="%2."/>
      <w:lvlJc w:val="left"/>
      <w:pPr>
        <w:ind w:left="3210" w:hanging="360"/>
      </w:pPr>
    </w:lvl>
    <w:lvl w:ilvl="2" w:tplc="041F001B" w:tentative="1">
      <w:start w:val="1"/>
      <w:numFmt w:val="lowerRoman"/>
      <w:lvlText w:val="%3."/>
      <w:lvlJc w:val="right"/>
      <w:pPr>
        <w:ind w:left="3930" w:hanging="180"/>
      </w:pPr>
    </w:lvl>
    <w:lvl w:ilvl="3" w:tplc="041F000F" w:tentative="1">
      <w:start w:val="1"/>
      <w:numFmt w:val="decimal"/>
      <w:lvlText w:val="%4."/>
      <w:lvlJc w:val="left"/>
      <w:pPr>
        <w:ind w:left="4650" w:hanging="360"/>
      </w:pPr>
    </w:lvl>
    <w:lvl w:ilvl="4" w:tplc="041F0019" w:tentative="1">
      <w:start w:val="1"/>
      <w:numFmt w:val="lowerLetter"/>
      <w:lvlText w:val="%5."/>
      <w:lvlJc w:val="left"/>
      <w:pPr>
        <w:ind w:left="5370" w:hanging="360"/>
      </w:pPr>
    </w:lvl>
    <w:lvl w:ilvl="5" w:tplc="041F001B" w:tentative="1">
      <w:start w:val="1"/>
      <w:numFmt w:val="lowerRoman"/>
      <w:lvlText w:val="%6."/>
      <w:lvlJc w:val="right"/>
      <w:pPr>
        <w:ind w:left="6090" w:hanging="180"/>
      </w:pPr>
    </w:lvl>
    <w:lvl w:ilvl="6" w:tplc="041F000F" w:tentative="1">
      <w:start w:val="1"/>
      <w:numFmt w:val="decimal"/>
      <w:lvlText w:val="%7."/>
      <w:lvlJc w:val="left"/>
      <w:pPr>
        <w:ind w:left="6810" w:hanging="360"/>
      </w:pPr>
    </w:lvl>
    <w:lvl w:ilvl="7" w:tplc="041F0019" w:tentative="1">
      <w:start w:val="1"/>
      <w:numFmt w:val="lowerLetter"/>
      <w:lvlText w:val="%8."/>
      <w:lvlJc w:val="left"/>
      <w:pPr>
        <w:ind w:left="7530" w:hanging="360"/>
      </w:pPr>
    </w:lvl>
    <w:lvl w:ilvl="8" w:tplc="041F001B" w:tentative="1">
      <w:start w:val="1"/>
      <w:numFmt w:val="lowerRoman"/>
      <w:lvlText w:val="%9."/>
      <w:lvlJc w:val="right"/>
      <w:pPr>
        <w:ind w:left="8250" w:hanging="180"/>
      </w:pPr>
    </w:lvl>
  </w:abstractNum>
  <w:abstractNum w:abstractNumId="36" w15:restartNumberingAfterBreak="0">
    <w:nsid w:val="365B0278"/>
    <w:multiLevelType w:val="hybridMultilevel"/>
    <w:tmpl w:val="965CB5A6"/>
    <w:lvl w:ilvl="0" w:tplc="558AE016">
      <w:start w:val="1"/>
      <w:numFmt w:val="lowerLetter"/>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3BE91B27"/>
    <w:multiLevelType w:val="hybridMultilevel"/>
    <w:tmpl w:val="0ED688B8"/>
    <w:lvl w:ilvl="0" w:tplc="6748C1CE">
      <w:start w:val="1"/>
      <w:numFmt w:val="lowerRoman"/>
      <w:lvlText w:val="%1."/>
      <w:lvlJc w:val="right"/>
      <w:pPr>
        <w:ind w:left="720"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3C10694C"/>
    <w:multiLevelType w:val="multilevel"/>
    <w:tmpl w:val="8432F430"/>
    <w:lvl w:ilvl="0">
      <w:start w:val="1"/>
      <w:numFmt w:val="lowerLetter"/>
      <w:lvlText w:val="%1)"/>
      <w:lvlJc w:val="left"/>
      <w:pPr>
        <w:tabs>
          <w:tab w:val="num" w:pos="720"/>
        </w:tabs>
        <w:ind w:left="720" w:hanging="360"/>
      </w:pPr>
      <w:rPr>
        <w:rFonts w:hint="default"/>
        <w:sz w:val="24"/>
      </w:rPr>
    </w:lvl>
    <w:lvl w:ilvl="1">
      <w:start w:val="2"/>
      <w:numFmt w:val="bullet"/>
      <w:lvlText w:val="-"/>
      <w:lvlJc w:val="left"/>
      <w:pPr>
        <w:ind w:left="1440" w:hanging="360"/>
      </w:pPr>
      <w:rPr>
        <w:rFonts w:ascii="Times New Roman" w:eastAsiaTheme="minorHAnsi" w:hAnsi="Times New Roman" w:cs="Times New Roman"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CB948EC"/>
    <w:multiLevelType w:val="multilevel"/>
    <w:tmpl w:val="8432F430"/>
    <w:lvl w:ilvl="0">
      <w:start w:val="1"/>
      <w:numFmt w:val="lowerLetter"/>
      <w:lvlText w:val="%1)"/>
      <w:lvlJc w:val="left"/>
      <w:pPr>
        <w:tabs>
          <w:tab w:val="num" w:pos="720"/>
        </w:tabs>
        <w:ind w:left="720" w:hanging="360"/>
      </w:pPr>
      <w:rPr>
        <w:rFonts w:hint="default"/>
        <w:sz w:val="24"/>
      </w:rPr>
    </w:lvl>
    <w:lvl w:ilvl="1">
      <w:start w:val="2"/>
      <w:numFmt w:val="bullet"/>
      <w:lvlText w:val="-"/>
      <w:lvlJc w:val="left"/>
      <w:pPr>
        <w:ind w:left="1440" w:hanging="360"/>
      </w:pPr>
      <w:rPr>
        <w:rFonts w:ascii="Times New Roman" w:eastAsiaTheme="minorHAnsi" w:hAnsi="Times New Roman" w:cs="Times New Roman"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CFE277F"/>
    <w:multiLevelType w:val="hybridMultilevel"/>
    <w:tmpl w:val="CD5604A8"/>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1" w15:restartNumberingAfterBreak="0">
    <w:nsid w:val="3EDB1EBE"/>
    <w:multiLevelType w:val="hybridMultilevel"/>
    <w:tmpl w:val="162AB35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3FE14C69"/>
    <w:multiLevelType w:val="hybridMultilevel"/>
    <w:tmpl w:val="90BCE32E"/>
    <w:lvl w:ilvl="0" w:tplc="EE1AFEA0">
      <w:start w:val="1"/>
      <w:numFmt w:val="lowerRoman"/>
      <w:lvlText w:val="%1."/>
      <w:lvlJc w:val="right"/>
      <w:pPr>
        <w:ind w:left="1647" w:hanging="360"/>
      </w:pPr>
      <w:rPr>
        <w:b w:val="0"/>
      </w:rPr>
    </w:lvl>
    <w:lvl w:ilvl="1" w:tplc="041F0019" w:tentative="1">
      <w:start w:val="1"/>
      <w:numFmt w:val="lowerLetter"/>
      <w:lvlText w:val="%2."/>
      <w:lvlJc w:val="left"/>
      <w:pPr>
        <w:ind w:left="2367" w:hanging="360"/>
      </w:pPr>
    </w:lvl>
    <w:lvl w:ilvl="2" w:tplc="041F001B" w:tentative="1">
      <w:start w:val="1"/>
      <w:numFmt w:val="lowerRoman"/>
      <w:lvlText w:val="%3."/>
      <w:lvlJc w:val="right"/>
      <w:pPr>
        <w:ind w:left="3087" w:hanging="180"/>
      </w:pPr>
    </w:lvl>
    <w:lvl w:ilvl="3" w:tplc="041F000F" w:tentative="1">
      <w:start w:val="1"/>
      <w:numFmt w:val="decimal"/>
      <w:lvlText w:val="%4."/>
      <w:lvlJc w:val="left"/>
      <w:pPr>
        <w:ind w:left="3807" w:hanging="360"/>
      </w:pPr>
    </w:lvl>
    <w:lvl w:ilvl="4" w:tplc="041F0019" w:tentative="1">
      <w:start w:val="1"/>
      <w:numFmt w:val="lowerLetter"/>
      <w:lvlText w:val="%5."/>
      <w:lvlJc w:val="left"/>
      <w:pPr>
        <w:ind w:left="4527" w:hanging="360"/>
      </w:pPr>
    </w:lvl>
    <w:lvl w:ilvl="5" w:tplc="041F001B" w:tentative="1">
      <w:start w:val="1"/>
      <w:numFmt w:val="lowerRoman"/>
      <w:lvlText w:val="%6."/>
      <w:lvlJc w:val="right"/>
      <w:pPr>
        <w:ind w:left="5247" w:hanging="180"/>
      </w:pPr>
    </w:lvl>
    <w:lvl w:ilvl="6" w:tplc="041F000F" w:tentative="1">
      <w:start w:val="1"/>
      <w:numFmt w:val="decimal"/>
      <w:lvlText w:val="%7."/>
      <w:lvlJc w:val="left"/>
      <w:pPr>
        <w:ind w:left="5967" w:hanging="360"/>
      </w:pPr>
    </w:lvl>
    <w:lvl w:ilvl="7" w:tplc="041F0019" w:tentative="1">
      <w:start w:val="1"/>
      <w:numFmt w:val="lowerLetter"/>
      <w:lvlText w:val="%8."/>
      <w:lvlJc w:val="left"/>
      <w:pPr>
        <w:ind w:left="6687" w:hanging="360"/>
      </w:pPr>
    </w:lvl>
    <w:lvl w:ilvl="8" w:tplc="041F001B" w:tentative="1">
      <w:start w:val="1"/>
      <w:numFmt w:val="lowerRoman"/>
      <w:lvlText w:val="%9."/>
      <w:lvlJc w:val="right"/>
      <w:pPr>
        <w:ind w:left="7407" w:hanging="180"/>
      </w:pPr>
    </w:lvl>
  </w:abstractNum>
  <w:abstractNum w:abstractNumId="43" w15:restartNumberingAfterBreak="0">
    <w:nsid w:val="408748DD"/>
    <w:multiLevelType w:val="hybridMultilevel"/>
    <w:tmpl w:val="7CE4AADA"/>
    <w:lvl w:ilvl="0" w:tplc="ABF42B5A">
      <w:start w:val="1"/>
      <w:numFmt w:val="lowerLetter"/>
      <w:lvlText w:val="%1)"/>
      <w:lvlJc w:val="left"/>
      <w:pPr>
        <w:ind w:left="720" w:hanging="360"/>
      </w:pPr>
      <w:rPr>
        <w:b w:val="0"/>
      </w:rPr>
    </w:lvl>
    <w:lvl w:ilvl="1" w:tplc="041F001B">
      <w:start w:val="1"/>
      <w:numFmt w:val="lowerRoman"/>
      <w:lvlText w:val="%2."/>
      <w:lvlJc w:val="righ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430D7FA0"/>
    <w:multiLevelType w:val="multilevel"/>
    <w:tmpl w:val="4EF446A0"/>
    <w:lvl w:ilvl="0">
      <w:start w:val="1"/>
      <w:numFmt w:val="lowerRoman"/>
      <w:lvlText w:val="%1."/>
      <w:lvlJc w:val="right"/>
      <w:pPr>
        <w:tabs>
          <w:tab w:val="num" w:pos="360"/>
        </w:tabs>
        <w:ind w:left="360" w:hanging="360"/>
      </w:pPr>
      <w:rPr>
        <w:rFonts w:hint="default"/>
        <w:sz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5" w15:restartNumberingAfterBreak="0">
    <w:nsid w:val="43D4647A"/>
    <w:multiLevelType w:val="hybridMultilevel"/>
    <w:tmpl w:val="E744B1A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43EA2384"/>
    <w:multiLevelType w:val="hybridMultilevel"/>
    <w:tmpl w:val="F11E8EDE"/>
    <w:lvl w:ilvl="0" w:tplc="5BBE2652">
      <w:start w:val="1"/>
      <w:numFmt w:val="decimal"/>
      <w:lvlText w:val="%1."/>
      <w:lvlJc w:val="left"/>
      <w:pPr>
        <w:ind w:left="927" w:hanging="360"/>
      </w:pPr>
      <w:rPr>
        <w:rFonts w:hint="default"/>
        <w:b w:val="0"/>
      </w:rPr>
    </w:lvl>
    <w:lvl w:ilvl="1" w:tplc="041F001B">
      <w:start w:val="1"/>
      <w:numFmt w:val="lowerRoman"/>
      <w:lvlText w:val="%2."/>
      <w:lvlJc w:val="righ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7" w15:restartNumberingAfterBreak="0">
    <w:nsid w:val="46BB32A1"/>
    <w:multiLevelType w:val="hybridMultilevel"/>
    <w:tmpl w:val="0284FF9A"/>
    <w:lvl w:ilvl="0" w:tplc="ADD8AAB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8" w15:restartNumberingAfterBreak="0">
    <w:nsid w:val="46ED27BD"/>
    <w:multiLevelType w:val="hybridMultilevel"/>
    <w:tmpl w:val="C4A8D6B4"/>
    <w:lvl w:ilvl="0" w:tplc="041F0017">
      <w:start w:val="1"/>
      <w:numFmt w:val="lowerLetter"/>
      <w:lvlText w:val="%1)"/>
      <w:lvlJc w:val="left"/>
      <w:pPr>
        <w:ind w:left="870" w:hanging="360"/>
      </w:pPr>
    </w:lvl>
    <w:lvl w:ilvl="1" w:tplc="041F0019">
      <w:start w:val="1"/>
      <w:numFmt w:val="lowerLetter"/>
      <w:lvlText w:val="%2."/>
      <w:lvlJc w:val="left"/>
      <w:pPr>
        <w:ind w:left="1590" w:hanging="360"/>
      </w:pPr>
    </w:lvl>
    <w:lvl w:ilvl="2" w:tplc="6AEC5860">
      <w:start w:val="1"/>
      <w:numFmt w:val="lowerLetter"/>
      <w:lvlText w:val="%3)"/>
      <w:lvlJc w:val="left"/>
      <w:pPr>
        <w:ind w:left="2310" w:hanging="180"/>
      </w:pPr>
      <w:rPr>
        <w:b w:val="0"/>
      </w:rPr>
    </w:lvl>
    <w:lvl w:ilvl="3" w:tplc="041F000F" w:tentative="1">
      <w:start w:val="1"/>
      <w:numFmt w:val="decimal"/>
      <w:lvlText w:val="%4."/>
      <w:lvlJc w:val="left"/>
      <w:pPr>
        <w:ind w:left="3030" w:hanging="360"/>
      </w:pPr>
    </w:lvl>
    <w:lvl w:ilvl="4" w:tplc="041F0019" w:tentative="1">
      <w:start w:val="1"/>
      <w:numFmt w:val="lowerLetter"/>
      <w:lvlText w:val="%5."/>
      <w:lvlJc w:val="left"/>
      <w:pPr>
        <w:ind w:left="3750" w:hanging="360"/>
      </w:pPr>
    </w:lvl>
    <w:lvl w:ilvl="5" w:tplc="041F001B" w:tentative="1">
      <w:start w:val="1"/>
      <w:numFmt w:val="lowerRoman"/>
      <w:lvlText w:val="%6."/>
      <w:lvlJc w:val="right"/>
      <w:pPr>
        <w:ind w:left="4470" w:hanging="180"/>
      </w:pPr>
    </w:lvl>
    <w:lvl w:ilvl="6" w:tplc="041F000F" w:tentative="1">
      <w:start w:val="1"/>
      <w:numFmt w:val="decimal"/>
      <w:lvlText w:val="%7."/>
      <w:lvlJc w:val="left"/>
      <w:pPr>
        <w:ind w:left="5190" w:hanging="360"/>
      </w:pPr>
    </w:lvl>
    <w:lvl w:ilvl="7" w:tplc="041F0019" w:tentative="1">
      <w:start w:val="1"/>
      <w:numFmt w:val="lowerLetter"/>
      <w:lvlText w:val="%8."/>
      <w:lvlJc w:val="left"/>
      <w:pPr>
        <w:ind w:left="5910" w:hanging="360"/>
      </w:pPr>
    </w:lvl>
    <w:lvl w:ilvl="8" w:tplc="041F001B" w:tentative="1">
      <w:start w:val="1"/>
      <w:numFmt w:val="lowerRoman"/>
      <w:lvlText w:val="%9."/>
      <w:lvlJc w:val="right"/>
      <w:pPr>
        <w:ind w:left="6630" w:hanging="180"/>
      </w:pPr>
    </w:lvl>
  </w:abstractNum>
  <w:abstractNum w:abstractNumId="49" w15:restartNumberingAfterBreak="0">
    <w:nsid w:val="46F61C09"/>
    <w:multiLevelType w:val="hybridMultilevel"/>
    <w:tmpl w:val="CA78F658"/>
    <w:lvl w:ilvl="0" w:tplc="041F0017">
      <w:start w:val="1"/>
      <w:numFmt w:val="lowerLetter"/>
      <w:lvlText w:val="%1)"/>
      <w:lvlJc w:val="left"/>
      <w:pPr>
        <w:ind w:left="2490" w:hanging="360"/>
      </w:pPr>
    </w:lvl>
    <w:lvl w:ilvl="1" w:tplc="041F0019" w:tentative="1">
      <w:start w:val="1"/>
      <w:numFmt w:val="lowerLetter"/>
      <w:lvlText w:val="%2."/>
      <w:lvlJc w:val="left"/>
      <w:pPr>
        <w:ind w:left="3210" w:hanging="360"/>
      </w:pPr>
    </w:lvl>
    <w:lvl w:ilvl="2" w:tplc="041F001B" w:tentative="1">
      <w:start w:val="1"/>
      <w:numFmt w:val="lowerRoman"/>
      <w:lvlText w:val="%3."/>
      <w:lvlJc w:val="right"/>
      <w:pPr>
        <w:ind w:left="3930" w:hanging="180"/>
      </w:pPr>
    </w:lvl>
    <w:lvl w:ilvl="3" w:tplc="041F000F" w:tentative="1">
      <w:start w:val="1"/>
      <w:numFmt w:val="decimal"/>
      <w:lvlText w:val="%4."/>
      <w:lvlJc w:val="left"/>
      <w:pPr>
        <w:ind w:left="4650" w:hanging="360"/>
      </w:pPr>
    </w:lvl>
    <w:lvl w:ilvl="4" w:tplc="041F0019" w:tentative="1">
      <w:start w:val="1"/>
      <w:numFmt w:val="lowerLetter"/>
      <w:lvlText w:val="%5."/>
      <w:lvlJc w:val="left"/>
      <w:pPr>
        <w:ind w:left="5370" w:hanging="360"/>
      </w:pPr>
    </w:lvl>
    <w:lvl w:ilvl="5" w:tplc="041F001B" w:tentative="1">
      <w:start w:val="1"/>
      <w:numFmt w:val="lowerRoman"/>
      <w:lvlText w:val="%6."/>
      <w:lvlJc w:val="right"/>
      <w:pPr>
        <w:ind w:left="6090" w:hanging="180"/>
      </w:pPr>
    </w:lvl>
    <w:lvl w:ilvl="6" w:tplc="041F000F" w:tentative="1">
      <w:start w:val="1"/>
      <w:numFmt w:val="decimal"/>
      <w:lvlText w:val="%7."/>
      <w:lvlJc w:val="left"/>
      <w:pPr>
        <w:ind w:left="6810" w:hanging="360"/>
      </w:pPr>
    </w:lvl>
    <w:lvl w:ilvl="7" w:tplc="041F0019" w:tentative="1">
      <w:start w:val="1"/>
      <w:numFmt w:val="lowerLetter"/>
      <w:lvlText w:val="%8."/>
      <w:lvlJc w:val="left"/>
      <w:pPr>
        <w:ind w:left="7530" w:hanging="360"/>
      </w:pPr>
    </w:lvl>
    <w:lvl w:ilvl="8" w:tplc="041F001B" w:tentative="1">
      <w:start w:val="1"/>
      <w:numFmt w:val="lowerRoman"/>
      <w:lvlText w:val="%9."/>
      <w:lvlJc w:val="right"/>
      <w:pPr>
        <w:ind w:left="8250" w:hanging="180"/>
      </w:pPr>
    </w:lvl>
  </w:abstractNum>
  <w:abstractNum w:abstractNumId="50" w15:restartNumberingAfterBreak="0">
    <w:nsid w:val="47A71AA4"/>
    <w:multiLevelType w:val="hybridMultilevel"/>
    <w:tmpl w:val="E6063B92"/>
    <w:lvl w:ilvl="0" w:tplc="041F0017">
      <w:start w:val="1"/>
      <w:numFmt w:val="lowerLetter"/>
      <w:lvlText w:val="%1)"/>
      <w:lvlJc w:val="left"/>
      <w:pPr>
        <w:ind w:left="1070" w:hanging="360"/>
      </w:p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51" w15:restartNumberingAfterBreak="0">
    <w:nsid w:val="4AFE3BE3"/>
    <w:multiLevelType w:val="hybridMultilevel"/>
    <w:tmpl w:val="22C2E984"/>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4B7B6808"/>
    <w:multiLevelType w:val="hybridMultilevel"/>
    <w:tmpl w:val="E6063B92"/>
    <w:lvl w:ilvl="0" w:tplc="041F0017">
      <w:start w:val="1"/>
      <w:numFmt w:val="lowerLetter"/>
      <w:lvlText w:val="%1)"/>
      <w:lvlJc w:val="left"/>
      <w:pPr>
        <w:ind w:left="1070" w:hanging="360"/>
      </w:p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53" w15:restartNumberingAfterBreak="0">
    <w:nsid w:val="4D2C4D9B"/>
    <w:multiLevelType w:val="hybridMultilevel"/>
    <w:tmpl w:val="E5F8FB8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15:restartNumberingAfterBreak="0">
    <w:nsid w:val="4EBE18BC"/>
    <w:multiLevelType w:val="hybridMultilevel"/>
    <w:tmpl w:val="E26E4358"/>
    <w:lvl w:ilvl="0" w:tplc="DBF4A612">
      <w:start w:val="1"/>
      <w:numFmt w:val="lowerLetter"/>
      <w:lvlText w:val="%1)"/>
      <w:lvlJc w:val="left"/>
      <w:pPr>
        <w:ind w:left="993" w:hanging="360"/>
      </w:pPr>
      <w:rPr>
        <w:b w:val="0"/>
      </w:rPr>
    </w:lvl>
    <w:lvl w:ilvl="1" w:tplc="041F0019">
      <w:start w:val="1"/>
      <w:numFmt w:val="lowerLetter"/>
      <w:lvlText w:val="%2."/>
      <w:lvlJc w:val="left"/>
      <w:pPr>
        <w:ind w:left="2640" w:hanging="360"/>
      </w:pPr>
    </w:lvl>
    <w:lvl w:ilvl="2" w:tplc="041F001B" w:tentative="1">
      <w:start w:val="1"/>
      <w:numFmt w:val="lowerRoman"/>
      <w:lvlText w:val="%3."/>
      <w:lvlJc w:val="right"/>
      <w:pPr>
        <w:ind w:left="3360" w:hanging="180"/>
      </w:pPr>
    </w:lvl>
    <w:lvl w:ilvl="3" w:tplc="041F000F" w:tentative="1">
      <w:start w:val="1"/>
      <w:numFmt w:val="decimal"/>
      <w:lvlText w:val="%4."/>
      <w:lvlJc w:val="left"/>
      <w:pPr>
        <w:ind w:left="4080" w:hanging="360"/>
      </w:pPr>
    </w:lvl>
    <w:lvl w:ilvl="4" w:tplc="041F0019" w:tentative="1">
      <w:start w:val="1"/>
      <w:numFmt w:val="lowerLetter"/>
      <w:lvlText w:val="%5."/>
      <w:lvlJc w:val="left"/>
      <w:pPr>
        <w:ind w:left="4800" w:hanging="360"/>
      </w:pPr>
    </w:lvl>
    <w:lvl w:ilvl="5" w:tplc="041F001B" w:tentative="1">
      <w:start w:val="1"/>
      <w:numFmt w:val="lowerRoman"/>
      <w:lvlText w:val="%6."/>
      <w:lvlJc w:val="right"/>
      <w:pPr>
        <w:ind w:left="5520" w:hanging="180"/>
      </w:pPr>
    </w:lvl>
    <w:lvl w:ilvl="6" w:tplc="041F000F" w:tentative="1">
      <w:start w:val="1"/>
      <w:numFmt w:val="decimal"/>
      <w:lvlText w:val="%7."/>
      <w:lvlJc w:val="left"/>
      <w:pPr>
        <w:ind w:left="6240" w:hanging="360"/>
      </w:pPr>
    </w:lvl>
    <w:lvl w:ilvl="7" w:tplc="041F0019" w:tentative="1">
      <w:start w:val="1"/>
      <w:numFmt w:val="lowerLetter"/>
      <w:lvlText w:val="%8."/>
      <w:lvlJc w:val="left"/>
      <w:pPr>
        <w:ind w:left="6960" w:hanging="360"/>
      </w:pPr>
    </w:lvl>
    <w:lvl w:ilvl="8" w:tplc="041F001B" w:tentative="1">
      <w:start w:val="1"/>
      <w:numFmt w:val="lowerRoman"/>
      <w:lvlText w:val="%9."/>
      <w:lvlJc w:val="right"/>
      <w:pPr>
        <w:ind w:left="7680" w:hanging="180"/>
      </w:pPr>
    </w:lvl>
  </w:abstractNum>
  <w:abstractNum w:abstractNumId="55" w15:restartNumberingAfterBreak="0">
    <w:nsid w:val="4F217C92"/>
    <w:multiLevelType w:val="hybridMultilevel"/>
    <w:tmpl w:val="9FE465A4"/>
    <w:lvl w:ilvl="0" w:tplc="041F001B">
      <w:start w:val="1"/>
      <w:numFmt w:val="lowerRoman"/>
      <w:lvlText w:val="%1."/>
      <w:lvlJc w:val="right"/>
      <w:pPr>
        <w:ind w:left="2133" w:hanging="360"/>
      </w:pPr>
    </w:lvl>
    <w:lvl w:ilvl="1" w:tplc="041F0019" w:tentative="1">
      <w:start w:val="1"/>
      <w:numFmt w:val="lowerLetter"/>
      <w:lvlText w:val="%2."/>
      <w:lvlJc w:val="left"/>
      <w:pPr>
        <w:ind w:left="2853" w:hanging="360"/>
      </w:pPr>
    </w:lvl>
    <w:lvl w:ilvl="2" w:tplc="041F001B" w:tentative="1">
      <w:start w:val="1"/>
      <w:numFmt w:val="lowerRoman"/>
      <w:lvlText w:val="%3."/>
      <w:lvlJc w:val="right"/>
      <w:pPr>
        <w:ind w:left="3573" w:hanging="180"/>
      </w:pPr>
    </w:lvl>
    <w:lvl w:ilvl="3" w:tplc="041F000F" w:tentative="1">
      <w:start w:val="1"/>
      <w:numFmt w:val="decimal"/>
      <w:lvlText w:val="%4."/>
      <w:lvlJc w:val="left"/>
      <w:pPr>
        <w:ind w:left="4293" w:hanging="360"/>
      </w:pPr>
    </w:lvl>
    <w:lvl w:ilvl="4" w:tplc="041F0019" w:tentative="1">
      <w:start w:val="1"/>
      <w:numFmt w:val="lowerLetter"/>
      <w:lvlText w:val="%5."/>
      <w:lvlJc w:val="left"/>
      <w:pPr>
        <w:ind w:left="5013" w:hanging="360"/>
      </w:pPr>
    </w:lvl>
    <w:lvl w:ilvl="5" w:tplc="041F001B" w:tentative="1">
      <w:start w:val="1"/>
      <w:numFmt w:val="lowerRoman"/>
      <w:lvlText w:val="%6."/>
      <w:lvlJc w:val="right"/>
      <w:pPr>
        <w:ind w:left="5733" w:hanging="180"/>
      </w:pPr>
    </w:lvl>
    <w:lvl w:ilvl="6" w:tplc="041F000F" w:tentative="1">
      <w:start w:val="1"/>
      <w:numFmt w:val="decimal"/>
      <w:lvlText w:val="%7."/>
      <w:lvlJc w:val="left"/>
      <w:pPr>
        <w:ind w:left="6453" w:hanging="360"/>
      </w:pPr>
    </w:lvl>
    <w:lvl w:ilvl="7" w:tplc="041F0019" w:tentative="1">
      <w:start w:val="1"/>
      <w:numFmt w:val="lowerLetter"/>
      <w:lvlText w:val="%8."/>
      <w:lvlJc w:val="left"/>
      <w:pPr>
        <w:ind w:left="7173" w:hanging="360"/>
      </w:pPr>
    </w:lvl>
    <w:lvl w:ilvl="8" w:tplc="041F001B" w:tentative="1">
      <w:start w:val="1"/>
      <w:numFmt w:val="lowerRoman"/>
      <w:lvlText w:val="%9."/>
      <w:lvlJc w:val="right"/>
      <w:pPr>
        <w:ind w:left="7893" w:hanging="180"/>
      </w:pPr>
    </w:lvl>
  </w:abstractNum>
  <w:abstractNum w:abstractNumId="56" w15:restartNumberingAfterBreak="0">
    <w:nsid w:val="4F7165DD"/>
    <w:multiLevelType w:val="hybridMultilevel"/>
    <w:tmpl w:val="E744B1A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15:restartNumberingAfterBreak="0">
    <w:nsid w:val="555D18C4"/>
    <w:multiLevelType w:val="hybridMultilevel"/>
    <w:tmpl w:val="7CA68F76"/>
    <w:lvl w:ilvl="0" w:tplc="041F001B">
      <w:start w:val="1"/>
      <w:numFmt w:val="lowerRoman"/>
      <w:lvlText w:val="%1."/>
      <w:lvlJc w:val="righ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58" w15:restartNumberingAfterBreak="0">
    <w:nsid w:val="58382560"/>
    <w:multiLevelType w:val="hybridMultilevel"/>
    <w:tmpl w:val="06F2BE70"/>
    <w:lvl w:ilvl="0" w:tplc="041F001B">
      <w:start w:val="1"/>
      <w:numFmt w:val="lowerRoman"/>
      <w:lvlText w:val="%1."/>
      <w:lvlJc w:val="righ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59" w15:restartNumberingAfterBreak="0">
    <w:nsid w:val="58B13924"/>
    <w:multiLevelType w:val="hybridMultilevel"/>
    <w:tmpl w:val="90D0DF5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15:restartNumberingAfterBreak="0">
    <w:nsid w:val="59AD07F8"/>
    <w:multiLevelType w:val="hybridMultilevel"/>
    <w:tmpl w:val="8A1A8BEA"/>
    <w:lvl w:ilvl="0" w:tplc="3182A3C0">
      <w:start w:val="1"/>
      <w:numFmt w:val="lowerLetter"/>
      <w:lvlText w:val="%1)"/>
      <w:lvlJc w:val="left"/>
      <w:pPr>
        <w:ind w:left="1423" w:hanging="360"/>
      </w:pPr>
      <w:rPr>
        <w:b w:val="0"/>
      </w:rPr>
    </w:lvl>
    <w:lvl w:ilvl="1" w:tplc="041F001B">
      <w:start w:val="1"/>
      <w:numFmt w:val="lowerRoman"/>
      <w:lvlText w:val="%2."/>
      <w:lvlJc w:val="right"/>
      <w:pPr>
        <w:ind w:left="2143" w:hanging="360"/>
      </w:pPr>
    </w:lvl>
    <w:lvl w:ilvl="2" w:tplc="041F001B">
      <w:start w:val="1"/>
      <w:numFmt w:val="lowerRoman"/>
      <w:lvlText w:val="%3."/>
      <w:lvlJc w:val="right"/>
      <w:pPr>
        <w:ind w:left="2863" w:hanging="180"/>
      </w:pPr>
    </w:lvl>
    <w:lvl w:ilvl="3" w:tplc="041F000F" w:tentative="1">
      <w:start w:val="1"/>
      <w:numFmt w:val="decimal"/>
      <w:lvlText w:val="%4."/>
      <w:lvlJc w:val="left"/>
      <w:pPr>
        <w:ind w:left="3583" w:hanging="360"/>
      </w:pPr>
    </w:lvl>
    <w:lvl w:ilvl="4" w:tplc="041F0019" w:tentative="1">
      <w:start w:val="1"/>
      <w:numFmt w:val="lowerLetter"/>
      <w:lvlText w:val="%5."/>
      <w:lvlJc w:val="left"/>
      <w:pPr>
        <w:ind w:left="4303" w:hanging="360"/>
      </w:pPr>
    </w:lvl>
    <w:lvl w:ilvl="5" w:tplc="041F001B" w:tentative="1">
      <w:start w:val="1"/>
      <w:numFmt w:val="lowerRoman"/>
      <w:lvlText w:val="%6."/>
      <w:lvlJc w:val="right"/>
      <w:pPr>
        <w:ind w:left="5023" w:hanging="180"/>
      </w:pPr>
    </w:lvl>
    <w:lvl w:ilvl="6" w:tplc="041F000F" w:tentative="1">
      <w:start w:val="1"/>
      <w:numFmt w:val="decimal"/>
      <w:lvlText w:val="%7."/>
      <w:lvlJc w:val="left"/>
      <w:pPr>
        <w:ind w:left="5743" w:hanging="360"/>
      </w:pPr>
    </w:lvl>
    <w:lvl w:ilvl="7" w:tplc="041F0019" w:tentative="1">
      <w:start w:val="1"/>
      <w:numFmt w:val="lowerLetter"/>
      <w:lvlText w:val="%8."/>
      <w:lvlJc w:val="left"/>
      <w:pPr>
        <w:ind w:left="6463" w:hanging="360"/>
      </w:pPr>
    </w:lvl>
    <w:lvl w:ilvl="8" w:tplc="041F001B" w:tentative="1">
      <w:start w:val="1"/>
      <w:numFmt w:val="lowerRoman"/>
      <w:lvlText w:val="%9."/>
      <w:lvlJc w:val="right"/>
      <w:pPr>
        <w:ind w:left="7183" w:hanging="180"/>
      </w:pPr>
    </w:lvl>
  </w:abstractNum>
  <w:abstractNum w:abstractNumId="61" w15:restartNumberingAfterBreak="0">
    <w:nsid w:val="5A4A06B9"/>
    <w:multiLevelType w:val="hybridMultilevel"/>
    <w:tmpl w:val="255A5C80"/>
    <w:lvl w:ilvl="0" w:tplc="08D088E6">
      <w:start w:val="1"/>
      <w:numFmt w:val="lowerRoman"/>
      <w:lvlText w:val="%1."/>
      <w:lvlJc w:val="right"/>
      <w:pPr>
        <w:ind w:left="1778"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15:restartNumberingAfterBreak="0">
    <w:nsid w:val="5B784A20"/>
    <w:multiLevelType w:val="hybridMultilevel"/>
    <w:tmpl w:val="050AB326"/>
    <w:lvl w:ilvl="0" w:tplc="041F001B">
      <w:start w:val="1"/>
      <w:numFmt w:val="lowerRoman"/>
      <w:lvlText w:val="%1."/>
      <w:lvlJc w:val="righ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15:restartNumberingAfterBreak="0">
    <w:nsid w:val="5EC31A9D"/>
    <w:multiLevelType w:val="hybridMultilevel"/>
    <w:tmpl w:val="481CE528"/>
    <w:lvl w:ilvl="0" w:tplc="041F001B">
      <w:start w:val="1"/>
      <w:numFmt w:val="lowerRoman"/>
      <w:lvlText w:val="%1."/>
      <w:lvlJc w:val="righ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4" w15:restartNumberingAfterBreak="0">
    <w:nsid w:val="5EEA11C6"/>
    <w:multiLevelType w:val="hybridMultilevel"/>
    <w:tmpl w:val="E7F419BC"/>
    <w:lvl w:ilvl="0" w:tplc="A1DE3F68">
      <w:start w:val="1"/>
      <w:numFmt w:val="lowerRoman"/>
      <w:lvlText w:val="%1)"/>
      <w:lvlJc w:val="left"/>
      <w:pPr>
        <w:ind w:left="1996" w:hanging="720"/>
      </w:pPr>
      <w:rPr>
        <w:rFonts w:hint="default"/>
        <w:b w:val="0"/>
      </w:rPr>
    </w:lvl>
    <w:lvl w:ilvl="1" w:tplc="041F0019" w:tentative="1">
      <w:start w:val="1"/>
      <w:numFmt w:val="lowerLetter"/>
      <w:lvlText w:val="%2."/>
      <w:lvlJc w:val="left"/>
      <w:pPr>
        <w:ind w:left="2356" w:hanging="360"/>
      </w:pPr>
    </w:lvl>
    <w:lvl w:ilvl="2" w:tplc="041F001B" w:tentative="1">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abstractNum w:abstractNumId="65" w15:restartNumberingAfterBreak="0">
    <w:nsid w:val="6424077C"/>
    <w:multiLevelType w:val="hybridMultilevel"/>
    <w:tmpl w:val="EC9E1256"/>
    <w:lvl w:ilvl="0" w:tplc="B48AB10A">
      <w:start w:val="1"/>
      <w:numFmt w:val="lowerLetter"/>
      <w:lvlText w:val="%1)"/>
      <w:lvlJc w:val="left"/>
      <w:pPr>
        <w:ind w:left="720"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6" w15:restartNumberingAfterBreak="0">
    <w:nsid w:val="64526FE0"/>
    <w:multiLevelType w:val="hybridMultilevel"/>
    <w:tmpl w:val="9670DEC4"/>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15:restartNumberingAfterBreak="0">
    <w:nsid w:val="64816F30"/>
    <w:multiLevelType w:val="hybridMultilevel"/>
    <w:tmpl w:val="2DF45EC2"/>
    <w:lvl w:ilvl="0" w:tplc="041F0011">
      <w:start w:val="1"/>
      <w:numFmt w:val="decimal"/>
      <w:lvlText w:val="%1)"/>
      <w:lvlJc w:val="left"/>
      <w:pPr>
        <w:ind w:left="1070"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8" w15:restartNumberingAfterBreak="0">
    <w:nsid w:val="648E69A3"/>
    <w:multiLevelType w:val="hybridMultilevel"/>
    <w:tmpl w:val="C94AC714"/>
    <w:lvl w:ilvl="0" w:tplc="041F0017">
      <w:start w:val="1"/>
      <w:numFmt w:val="lowerLetter"/>
      <w:lvlText w:val="%1)"/>
      <w:lvlJc w:val="left"/>
      <w:pPr>
        <w:ind w:left="770" w:hanging="360"/>
      </w:pPr>
    </w:lvl>
    <w:lvl w:ilvl="1" w:tplc="041F0019" w:tentative="1">
      <w:start w:val="1"/>
      <w:numFmt w:val="lowerLetter"/>
      <w:lvlText w:val="%2."/>
      <w:lvlJc w:val="left"/>
      <w:pPr>
        <w:ind w:left="1490" w:hanging="360"/>
      </w:pPr>
    </w:lvl>
    <w:lvl w:ilvl="2" w:tplc="041F001B" w:tentative="1">
      <w:start w:val="1"/>
      <w:numFmt w:val="lowerRoman"/>
      <w:lvlText w:val="%3."/>
      <w:lvlJc w:val="right"/>
      <w:pPr>
        <w:ind w:left="2210" w:hanging="180"/>
      </w:pPr>
    </w:lvl>
    <w:lvl w:ilvl="3" w:tplc="041F000F" w:tentative="1">
      <w:start w:val="1"/>
      <w:numFmt w:val="decimal"/>
      <w:lvlText w:val="%4."/>
      <w:lvlJc w:val="left"/>
      <w:pPr>
        <w:ind w:left="2930" w:hanging="360"/>
      </w:pPr>
    </w:lvl>
    <w:lvl w:ilvl="4" w:tplc="041F0019" w:tentative="1">
      <w:start w:val="1"/>
      <w:numFmt w:val="lowerLetter"/>
      <w:lvlText w:val="%5."/>
      <w:lvlJc w:val="left"/>
      <w:pPr>
        <w:ind w:left="3650" w:hanging="360"/>
      </w:pPr>
    </w:lvl>
    <w:lvl w:ilvl="5" w:tplc="041F001B" w:tentative="1">
      <w:start w:val="1"/>
      <w:numFmt w:val="lowerRoman"/>
      <w:lvlText w:val="%6."/>
      <w:lvlJc w:val="right"/>
      <w:pPr>
        <w:ind w:left="4370" w:hanging="180"/>
      </w:pPr>
    </w:lvl>
    <w:lvl w:ilvl="6" w:tplc="041F000F" w:tentative="1">
      <w:start w:val="1"/>
      <w:numFmt w:val="decimal"/>
      <w:lvlText w:val="%7."/>
      <w:lvlJc w:val="left"/>
      <w:pPr>
        <w:ind w:left="5090" w:hanging="360"/>
      </w:pPr>
    </w:lvl>
    <w:lvl w:ilvl="7" w:tplc="041F0019" w:tentative="1">
      <w:start w:val="1"/>
      <w:numFmt w:val="lowerLetter"/>
      <w:lvlText w:val="%8."/>
      <w:lvlJc w:val="left"/>
      <w:pPr>
        <w:ind w:left="5810" w:hanging="360"/>
      </w:pPr>
    </w:lvl>
    <w:lvl w:ilvl="8" w:tplc="041F001B" w:tentative="1">
      <w:start w:val="1"/>
      <w:numFmt w:val="lowerRoman"/>
      <w:lvlText w:val="%9."/>
      <w:lvlJc w:val="right"/>
      <w:pPr>
        <w:ind w:left="6530" w:hanging="180"/>
      </w:pPr>
    </w:lvl>
  </w:abstractNum>
  <w:abstractNum w:abstractNumId="69" w15:restartNumberingAfterBreak="0">
    <w:nsid w:val="65117BB0"/>
    <w:multiLevelType w:val="hybridMultilevel"/>
    <w:tmpl w:val="7CE4AADA"/>
    <w:lvl w:ilvl="0" w:tplc="ABF42B5A">
      <w:start w:val="1"/>
      <w:numFmt w:val="lowerLetter"/>
      <w:lvlText w:val="%1)"/>
      <w:lvlJc w:val="left"/>
      <w:pPr>
        <w:ind w:left="720" w:hanging="360"/>
      </w:pPr>
      <w:rPr>
        <w:b w:val="0"/>
      </w:rPr>
    </w:lvl>
    <w:lvl w:ilvl="1" w:tplc="041F001B">
      <w:start w:val="1"/>
      <w:numFmt w:val="lowerRoman"/>
      <w:lvlText w:val="%2."/>
      <w:lvlJc w:val="righ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0" w15:restartNumberingAfterBreak="0">
    <w:nsid w:val="6AFE5EF7"/>
    <w:multiLevelType w:val="hybridMultilevel"/>
    <w:tmpl w:val="103AC766"/>
    <w:lvl w:ilvl="0" w:tplc="044653EC">
      <w:start w:val="1"/>
      <w:numFmt w:val="lowerRoman"/>
      <w:lvlText w:val="%1."/>
      <w:lvlJc w:val="left"/>
      <w:pPr>
        <w:ind w:left="1854" w:hanging="72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71" w15:restartNumberingAfterBreak="0">
    <w:nsid w:val="6FF67642"/>
    <w:multiLevelType w:val="hybridMultilevel"/>
    <w:tmpl w:val="E744B1A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2" w15:restartNumberingAfterBreak="0">
    <w:nsid w:val="704C6735"/>
    <w:multiLevelType w:val="hybridMultilevel"/>
    <w:tmpl w:val="3F90DFEE"/>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3" w15:restartNumberingAfterBreak="0">
    <w:nsid w:val="71370B74"/>
    <w:multiLevelType w:val="hybridMultilevel"/>
    <w:tmpl w:val="0DFE100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4" w15:restartNumberingAfterBreak="0">
    <w:nsid w:val="730D138D"/>
    <w:multiLevelType w:val="hybridMultilevel"/>
    <w:tmpl w:val="1A849E4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5" w15:restartNumberingAfterBreak="0">
    <w:nsid w:val="7594744D"/>
    <w:multiLevelType w:val="hybridMultilevel"/>
    <w:tmpl w:val="0F5C987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6" w15:restartNumberingAfterBreak="0">
    <w:nsid w:val="76CC4E0C"/>
    <w:multiLevelType w:val="hybridMultilevel"/>
    <w:tmpl w:val="E744B1A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7" w15:restartNumberingAfterBreak="0">
    <w:nsid w:val="76F60FFE"/>
    <w:multiLevelType w:val="hybridMultilevel"/>
    <w:tmpl w:val="24FAEB20"/>
    <w:lvl w:ilvl="0" w:tplc="041F0017">
      <w:start w:val="1"/>
      <w:numFmt w:val="lowerLetter"/>
      <w:lvlText w:val="%1)"/>
      <w:lvlJc w:val="left"/>
      <w:pPr>
        <w:ind w:left="360" w:hanging="360"/>
      </w:pPr>
    </w:lvl>
    <w:lvl w:ilvl="1" w:tplc="041F0019">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78" w15:restartNumberingAfterBreak="0">
    <w:nsid w:val="7C3C4F06"/>
    <w:multiLevelType w:val="hybridMultilevel"/>
    <w:tmpl w:val="B0820E5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9" w15:restartNumberingAfterBreak="0">
    <w:nsid w:val="7EE562AB"/>
    <w:multiLevelType w:val="hybridMultilevel"/>
    <w:tmpl w:val="CA7ECD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0" w15:restartNumberingAfterBreak="0">
    <w:nsid w:val="7F732E8E"/>
    <w:multiLevelType w:val="hybridMultilevel"/>
    <w:tmpl w:val="846EE02E"/>
    <w:lvl w:ilvl="0" w:tplc="041F001B">
      <w:start w:val="1"/>
      <w:numFmt w:val="lowerRoman"/>
      <w:lvlText w:val="%1."/>
      <w:lvlJc w:val="righ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1"/>
  </w:num>
  <w:num w:numId="2">
    <w:abstractNumId w:val="8"/>
  </w:num>
  <w:num w:numId="3">
    <w:abstractNumId w:val="66"/>
  </w:num>
  <w:num w:numId="4">
    <w:abstractNumId w:val="10"/>
  </w:num>
  <w:num w:numId="5">
    <w:abstractNumId w:val="17"/>
  </w:num>
  <w:num w:numId="6">
    <w:abstractNumId w:val="48"/>
  </w:num>
  <w:num w:numId="7">
    <w:abstractNumId w:val="5"/>
  </w:num>
  <w:num w:numId="8">
    <w:abstractNumId w:val="55"/>
  </w:num>
  <w:num w:numId="9">
    <w:abstractNumId w:val="34"/>
  </w:num>
  <w:num w:numId="10">
    <w:abstractNumId w:val="12"/>
  </w:num>
  <w:num w:numId="11">
    <w:abstractNumId w:val="77"/>
  </w:num>
  <w:num w:numId="12">
    <w:abstractNumId w:val="0"/>
  </w:num>
  <w:num w:numId="13">
    <w:abstractNumId w:val="64"/>
  </w:num>
  <w:num w:numId="14">
    <w:abstractNumId w:val="62"/>
  </w:num>
  <w:num w:numId="15">
    <w:abstractNumId w:val="72"/>
  </w:num>
  <w:num w:numId="16">
    <w:abstractNumId w:val="6"/>
  </w:num>
  <w:num w:numId="17">
    <w:abstractNumId w:val="18"/>
  </w:num>
  <w:num w:numId="18">
    <w:abstractNumId w:val="47"/>
  </w:num>
  <w:num w:numId="19">
    <w:abstractNumId w:val="53"/>
  </w:num>
  <w:num w:numId="20">
    <w:abstractNumId w:val="61"/>
  </w:num>
  <w:num w:numId="21">
    <w:abstractNumId w:val="65"/>
  </w:num>
  <w:num w:numId="22">
    <w:abstractNumId w:val="31"/>
  </w:num>
  <w:num w:numId="23">
    <w:abstractNumId w:val="11"/>
  </w:num>
  <w:num w:numId="24">
    <w:abstractNumId w:val="36"/>
  </w:num>
  <w:num w:numId="25">
    <w:abstractNumId w:val="78"/>
  </w:num>
  <w:num w:numId="26">
    <w:abstractNumId w:val="43"/>
  </w:num>
  <w:num w:numId="27">
    <w:abstractNumId w:val="22"/>
  </w:num>
  <w:num w:numId="28">
    <w:abstractNumId w:val="37"/>
  </w:num>
  <w:num w:numId="29">
    <w:abstractNumId w:val="51"/>
  </w:num>
  <w:num w:numId="30">
    <w:abstractNumId w:val="59"/>
  </w:num>
  <w:num w:numId="31">
    <w:abstractNumId w:val="75"/>
  </w:num>
  <w:num w:numId="32">
    <w:abstractNumId w:val="73"/>
  </w:num>
  <w:num w:numId="33">
    <w:abstractNumId w:val="41"/>
  </w:num>
  <w:num w:numId="34">
    <w:abstractNumId w:val="4"/>
  </w:num>
  <w:num w:numId="35">
    <w:abstractNumId w:val="74"/>
  </w:num>
  <w:num w:numId="36">
    <w:abstractNumId w:val="26"/>
  </w:num>
  <w:num w:numId="37">
    <w:abstractNumId w:val="13"/>
  </w:num>
  <w:num w:numId="38">
    <w:abstractNumId w:val="15"/>
  </w:num>
  <w:num w:numId="39">
    <w:abstractNumId w:val="35"/>
  </w:num>
  <w:num w:numId="40">
    <w:abstractNumId w:val="46"/>
  </w:num>
  <w:num w:numId="41">
    <w:abstractNumId w:val="42"/>
  </w:num>
  <w:num w:numId="42">
    <w:abstractNumId w:val="2"/>
  </w:num>
  <w:num w:numId="43">
    <w:abstractNumId w:val="21"/>
  </w:num>
  <w:num w:numId="44">
    <w:abstractNumId w:val="60"/>
  </w:num>
  <w:num w:numId="45">
    <w:abstractNumId w:val="3"/>
  </w:num>
  <w:num w:numId="46">
    <w:abstractNumId w:val="33"/>
  </w:num>
  <w:num w:numId="47">
    <w:abstractNumId w:val="7"/>
  </w:num>
  <w:num w:numId="48">
    <w:abstractNumId w:val="40"/>
  </w:num>
  <w:num w:numId="49">
    <w:abstractNumId w:val="14"/>
  </w:num>
  <w:num w:numId="50">
    <w:abstractNumId w:val="28"/>
  </w:num>
  <w:num w:numId="51">
    <w:abstractNumId w:val="58"/>
  </w:num>
  <w:num w:numId="52">
    <w:abstractNumId w:val="9"/>
  </w:num>
  <w:num w:numId="53">
    <w:abstractNumId w:val="27"/>
  </w:num>
  <w:num w:numId="54">
    <w:abstractNumId w:val="79"/>
  </w:num>
  <w:num w:numId="55">
    <w:abstractNumId w:val="32"/>
  </w:num>
  <w:num w:numId="56">
    <w:abstractNumId w:val="71"/>
  </w:num>
  <w:num w:numId="57">
    <w:abstractNumId w:val="20"/>
  </w:num>
  <w:num w:numId="58">
    <w:abstractNumId w:val="63"/>
  </w:num>
  <w:num w:numId="59">
    <w:abstractNumId w:val="57"/>
  </w:num>
  <w:num w:numId="60">
    <w:abstractNumId w:val="56"/>
  </w:num>
  <w:num w:numId="61">
    <w:abstractNumId w:val="30"/>
  </w:num>
  <w:num w:numId="62">
    <w:abstractNumId w:val="50"/>
  </w:num>
  <w:num w:numId="63">
    <w:abstractNumId w:val="16"/>
  </w:num>
  <w:num w:numId="64">
    <w:abstractNumId w:val="52"/>
  </w:num>
  <w:num w:numId="65">
    <w:abstractNumId w:val="39"/>
  </w:num>
  <w:num w:numId="66">
    <w:abstractNumId w:val="38"/>
  </w:num>
  <w:num w:numId="67">
    <w:abstractNumId w:val="25"/>
  </w:num>
  <w:num w:numId="68">
    <w:abstractNumId w:val="69"/>
  </w:num>
  <w:num w:numId="69">
    <w:abstractNumId w:val="68"/>
  </w:num>
  <w:num w:numId="70">
    <w:abstractNumId w:val="49"/>
  </w:num>
  <w:num w:numId="71">
    <w:abstractNumId w:val="19"/>
  </w:num>
  <w:num w:numId="72">
    <w:abstractNumId w:val="80"/>
  </w:num>
  <w:num w:numId="73">
    <w:abstractNumId w:val="24"/>
  </w:num>
  <w:num w:numId="74">
    <w:abstractNumId w:val="23"/>
  </w:num>
  <w:num w:numId="75">
    <w:abstractNumId w:val="76"/>
  </w:num>
  <w:num w:numId="76">
    <w:abstractNumId w:val="29"/>
  </w:num>
  <w:num w:numId="77">
    <w:abstractNumId w:val="45"/>
  </w:num>
  <w:num w:numId="78">
    <w:abstractNumId w:val="54"/>
  </w:num>
  <w:num w:numId="79">
    <w:abstractNumId w:val="44"/>
  </w:num>
  <w:num w:numId="80">
    <w:abstractNumId w:val="70"/>
  </w:num>
  <w:num w:numId="81">
    <w:abstractNumId w:val="6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CB7"/>
    <w:rsid w:val="00000EA2"/>
    <w:rsid w:val="00001214"/>
    <w:rsid w:val="00001547"/>
    <w:rsid w:val="000020E8"/>
    <w:rsid w:val="00002528"/>
    <w:rsid w:val="0000384F"/>
    <w:rsid w:val="00005C0D"/>
    <w:rsid w:val="00006525"/>
    <w:rsid w:val="00006969"/>
    <w:rsid w:val="000100CE"/>
    <w:rsid w:val="000115C2"/>
    <w:rsid w:val="00011D98"/>
    <w:rsid w:val="00012200"/>
    <w:rsid w:val="000139E8"/>
    <w:rsid w:val="000141DB"/>
    <w:rsid w:val="0001441B"/>
    <w:rsid w:val="00015C85"/>
    <w:rsid w:val="0002072E"/>
    <w:rsid w:val="00022F09"/>
    <w:rsid w:val="00023086"/>
    <w:rsid w:val="00026313"/>
    <w:rsid w:val="00026992"/>
    <w:rsid w:val="00026FE4"/>
    <w:rsid w:val="0002770E"/>
    <w:rsid w:val="0003022A"/>
    <w:rsid w:val="000302F9"/>
    <w:rsid w:val="000306CD"/>
    <w:rsid w:val="00031906"/>
    <w:rsid w:val="00031F6B"/>
    <w:rsid w:val="00032FDB"/>
    <w:rsid w:val="00032FEF"/>
    <w:rsid w:val="00034CAA"/>
    <w:rsid w:val="0003676E"/>
    <w:rsid w:val="000402D4"/>
    <w:rsid w:val="00040A5F"/>
    <w:rsid w:val="00042A12"/>
    <w:rsid w:val="00042DD1"/>
    <w:rsid w:val="00043AAB"/>
    <w:rsid w:val="00043EC5"/>
    <w:rsid w:val="00047213"/>
    <w:rsid w:val="00047E4E"/>
    <w:rsid w:val="00051442"/>
    <w:rsid w:val="00055BEC"/>
    <w:rsid w:val="00057DF5"/>
    <w:rsid w:val="0006161B"/>
    <w:rsid w:val="00061D6D"/>
    <w:rsid w:val="00062D6F"/>
    <w:rsid w:val="00063A19"/>
    <w:rsid w:val="0006424A"/>
    <w:rsid w:val="00065D2E"/>
    <w:rsid w:val="000670D4"/>
    <w:rsid w:val="00067B32"/>
    <w:rsid w:val="00067CD9"/>
    <w:rsid w:val="0007131D"/>
    <w:rsid w:val="00071DD1"/>
    <w:rsid w:val="00071F0A"/>
    <w:rsid w:val="00077E82"/>
    <w:rsid w:val="00083373"/>
    <w:rsid w:val="0008342A"/>
    <w:rsid w:val="000841D0"/>
    <w:rsid w:val="00084898"/>
    <w:rsid w:val="00084A6F"/>
    <w:rsid w:val="00086E76"/>
    <w:rsid w:val="0008784A"/>
    <w:rsid w:val="0008785A"/>
    <w:rsid w:val="00091080"/>
    <w:rsid w:val="000922D9"/>
    <w:rsid w:val="0009238A"/>
    <w:rsid w:val="00092FEE"/>
    <w:rsid w:val="00093C39"/>
    <w:rsid w:val="0009582C"/>
    <w:rsid w:val="00097B3A"/>
    <w:rsid w:val="000A2041"/>
    <w:rsid w:val="000A3434"/>
    <w:rsid w:val="000A42C6"/>
    <w:rsid w:val="000A4DD3"/>
    <w:rsid w:val="000A5AF3"/>
    <w:rsid w:val="000B1A0B"/>
    <w:rsid w:val="000B24E1"/>
    <w:rsid w:val="000B3219"/>
    <w:rsid w:val="000B4328"/>
    <w:rsid w:val="000B55DF"/>
    <w:rsid w:val="000B684E"/>
    <w:rsid w:val="000B699B"/>
    <w:rsid w:val="000C0E47"/>
    <w:rsid w:val="000C3719"/>
    <w:rsid w:val="000C570D"/>
    <w:rsid w:val="000C6C1D"/>
    <w:rsid w:val="000C749C"/>
    <w:rsid w:val="000C7D7A"/>
    <w:rsid w:val="000D0680"/>
    <w:rsid w:val="000D1C3C"/>
    <w:rsid w:val="000D35A3"/>
    <w:rsid w:val="000D37DF"/>
    <w:rsid w:val="000D4CDC"/>
    <w:rsid w:val="000D6AFA"/>
    <w:rsid w:val="000D7A81"/>
    <w:rsid w:val="000E03E9"/>
    <w:rsid w:val="000E1C31"/>
    <w:rsid w:val="000E22CC"/>
    <w:rsid w:val="000E34E5"/>
    <w:rsid w:val="000E4212"/>
    <w:rsid w:val="000E4425"/>
    <w:rsid w:val="000E6E43"/>
    <w:rsid w:val="000E725C"/>
    <w:rsid w:val="000E7A46"/>
    <w:rsid w:val="000F0BA6"/>
    <w:rsid w:val="000F130B"/>
    <w:rsid w:val="000F3769"/>
    <w:rsid w:val="000F3B21"/>
    <w:rsid w:val="000F5E82"/>
    <w:rsid w:val="000F6B26"/>
    <w:rsid w:val="00100682"/>
    <w:rsid w:val="00101A22"/>
    <w:rsid w:val="00103D3C"/>
    <w:rsid w:val="00104D15"/>
    <w:rsid w:val="00105F7F"/>
    <w:rsid w:val="00107734"/>
    <w:rsid w:val="00107CAE"/>
    <w:rsid w:val="00107EAA"/>
    <w:rsid w:val="00110FCE"/>
    <w:rsid w:val="001110EE"/>
    <w:rsid w:val="00111170"/>
    <w:rsid w:val="001113F3"/>
    <w:rsid w:val="001116FA"/>
    <w:rsid w:val="00112100"/>
    <w:rsid w:val="00112FD1"/>
    <w:rsid w:val="001131BC"/>
    <w:rsid w:val="00113839"/>
    <w:rsid w:val="00114F91"/>
    <w:rsid w:val="00116810"/>
    <w:rsid w:val="00116933"/>
    <w:rsid w:val="001175EA"/>
    <w:rsid w:val="00121A6C"/>
    <w:rsid w:val="0012309E"/>
    <w:rsid w:val="0012640E"/>
    <w:rsid w:val="00127FA3"/>
    <w:rsid w:val="00131056"/>
    <w:rsid w:val="00132001"/>
    <w:rsid w:val="00133FFF"/>
    <w:rsid w:val="00134937"/>
    <w:rsid w:val="001350C9"/>
    <w:rsid w:val="001367F2"/>
    <w:rsid w:val="001408A5"/>
    <w:rsid w:val="00140CCB"/>
    <w:rsid w:val="00140E84"/>
    <w:rsid w:val="00142543"/>
    <w:rsid w:val="001427E5"/>
    <w:rsid w:val="001428B8"/>
    <w:rsid w:val="0014446D"/>
    <w:rsid w:val="0014480B"/>
    <w:rsid w:val="001455CD"/>
    <w:rsid w:val="00145C96"/>
    <w:rsid w:val="00146214"/>
    <w:rsid w:val="00151FCB"/>
    <w:rsid w:val="00152759"/>
    <w:rsid w:val="00153B47"/>
    <w:rsid w:val="001549F2"/>
    <w:rsid w:val="0015576F"/>
    <w:rsid w:val="00156003"/>
    <w:rsid w:val="00156264"/>
    <w:rsid w:val="001567BB"/>
    <w:rsid w:val="00157190"/>
    <w:rsid w:val="001577C3"/>
    <w:rsid w:val="00157A45"/>
    <w:rsid w:val="00160040"/>
    <w:rsid w:val="00160187"/>
    <w:rsid w:val="00160A8C"/>
    <w:rsid w:val="0016240D"/>
    <w:rsid w:val="001633DC"/>
    <w:rsid w:val="00163876"/>
    <w:rsid w:val="00165775"/>
    <w:rsid w:val="00165A91"/>
    <w:rsid w:val="00166B28"/>
    <w:rsid w:val="0016743A"/>
    <w:rsid w:val="00174D1C"/>
    <w:rsid w:val="00175206"/>
    <w:rsid w:val="001754FB"/>
    <w:rsid w:val="00176788"/>
    <w:rsid w:val="00176A11"/>
    <w:rsid w:val="00176EB9"/>
    <w:rsid w:val="00176F86"/>
    <w:rsid w:val="00180CBC"/>
    <w:rsid w:val="00182329"/>
    <w:rsid w:val="001829AB"/>
    <w:rsid w:val="00182D09"/>
    <w:rsid w:val="0018304C"/>
    <w:rsid w:val="00183073"/>
    <w:rsid w:val="001841CD"/>
    <w:rsid w:val="001847AD"/>
    <w:rsid w:val="0018492E"/>
    <w:rsid w:val="00185965"/>
    <w:rsid w:val="00186004"/>
    <w:rsid w:val="001861AD"/>
    <w:rsid w:val="00187387"/>
    <w:rsid w:val="0018755B"/>
    <w:rsid w:val="001908E2"/>
    <w:rsid w:val="00191003"/>
    <w:rsid w:val="001917C7"/>
    <w:rsid w:val="00192AED"/>
    <w:rsid w:val="00193C0B"/>
    <w:rsid w:val="00193EA3"/>
    <w:rsid w:val="001940D5"/>
    <w:rsid w:val="001955FC"/>
    <w:rsid w:val="001958D2"/>
    <w:rsid w:val="00196D72"/>
    <w:rsid w:val="0019785D"/>
    <w:rsid w:val="001A23EB"/>
    <w:rsid w:val="001A2435"/>
    <w:rsid w:val="001A24B9"/>
    <w:rsid w:val="001A3A6F"/>
    <w:rsid w:val="001A3A94"/>
    <w:rsid w:val="001A587F"/>
    <w:rsid w:val="001A5E0E"/>
    <w:rsid w:val="001A7370"/>
    <w:rsid w:val="001B0C3E"/>
    <w:rsid w:val="001B1037"/>
    <w:rsid w:val="001B310A"/>
    <w:rsid w:val="001B31F0"/>
    <w:rsid w:val="001B44C1"/>
    <w:rsid w:val="001B4676"/>
    <w:rsid w:val="001B5E98"/>
    <w:rsid w:val="001B5FDA"/>
    <w:rsid w:val="001B64E3"/>
    <w:rsid w:val="001B6592"/>
    <w:rsid w:val="001B7A0E"/>
    <w:rsid w:val="001C034F"/>
    <w:rsid w:val="001C0B51"/>
    <w:rsid w:val="001C0D5F"/>
    <w:rsid w:val="001C1293"/>
    <w:rsid w:val="001C14E4"/>
    <w:rsid w:val="001C3C17"/>
    <w:rsid w:val="001C4381"/>
    <w:rsid w:val="001C69E4"/>
    <w:rsid w:val="001D0971"/>
    <w:rsid w:val="001D15B1"/>
    <w:rsid w:val="001D2781"/>
    <w:rsid w:val="001D2A9B"/>
    <w:rsid w:val="001D3908"/>
    <w:rsid w:val="001D48F0"/>
    <w:rsid w:val="001D649F"/>
    <w:rsid w:val="001D7CC1"/>
    <w:rsid w:val="001E04D1"/>
    <w:rsid w:val="001E3B72"/>
    <w:rsid w:val="001E3EFC"/>
    <w:rsid w:val="001E4A9D"/>
    <w:rsid w:val="001E5D4D"/>
    <w:rsid w:val="001F07AE"/>
    <w:rsid w:val="001F07DB"/>
    <w:rsid w:val="001F1116"/>
    <w:rsid w:val="001F1161"/>
    <w:rsid w:val="001F2DA7"/>
    <w:rsid w:val="001F31A8"/>
    <w:rsid w:val="001F4BA8"/>
    <w:rsid w:val="001F768A"/>
    <w:rsid w:val="001F78B3"/>
    <w:rsid w:val="002000E4"/>
    <w:rsid w:val="00200E55"/>
    <w:rsid w:val="00201C5E"/>
    <w:rsid w:val="00205930"/>
    <w:rsid w:val="00205F73"/>
    <w:rsid w:val="0020711C"/>
    <w:rsid w:val="0020754C"/>
    <w:rsid w:val="00210220"/>
    <w:rsid w:val="00211FE5"/>
    <w:rsid w:val="002124B4"/>
    <w:rsid w:val="00212B17"/>
    <w:rsid w:val="0021341F"/>
    <w:rsid w:val="00214504"/>
    <w:rsid w:val="00214EE5"/>
    <w:rsid w:val="00216444"/>
    <w:rsid w:val="00216532"/>
    <w:rsid w:val="0021799A"/>
    <w:rsid w:val="00217A85"/>
    <w:rsid w:val="002212E3"/>
    <w:rsid w:val="00221D04"/>
    <w:rsid w:val="00223252"/>
    <w:rsid w:val="002234CF"/>
    <w:rsid w:val="00226863"/>
    <w:rsid w:val="00226976"/>
    <w:rsid w:val="00227A5C"/>
    <w:rsid w:val="00230DA3"/>
    <w:rsid w:val="00231A3C"/>
    <w:rsid w:val="00231D4C"/>
    <w:rsid w:val="00232042"/>
    <w:rsid w:val="00232DFF"/>
    <w:rsid w:val="0023536B"/>
    <w:rsid w:val="00235FF3"/>
    <w:rsid w:val="0023648F"/>
    <w:rsid w:val="0023720F"/>
    <w:rsid w:val="00237CC2"/>
    <w:rsid w:val="00240D5A"/>
    <w:rsid w:val="00241507"/>
    <w:rsid w:val="00241AD2"/>
    <w:rsid w:val="00242966"/>
    <w:rsid w:val="0024520B"/>
    <w:rsid w:val="002454A7"/>
    <w:rsid w:val="002456B5"/>
    <w:rsid w:val="002503D7"/>
    <w:rsid w:val="0025040E"/>
    <w:rsid w:val="00251189"/>
    <w:rsid w:val="002513D2"/>
    <w:rsid w:val="002540CA"/>
    <w:rsid w:val="00254D76"/>
    <w:rsid w:val="00255558"/>
    <w:rsid w:val="00256EEC"/>
    <w:rsid w:val="00257309"/>
    <w:rsid w:val="002621B6"/>
    <w:rsid w:val="00262745"/>
    <w:rsid w:val="00262867"/>
    <w:rsid w:val="0026308F"/>
    <w:rsid w:val="00263174"/>
    <w:rsid w:val="00263B25"/>
    <w:rsid w:val="00270C5C"/>
    <w:rsid w:val="00272F82"/>
    <w:rsid w:val="0027470F"/>
    <w:rsid w:val="00275A65"/>
    <w:rsid w:val="00276DF9"/>
    <w:rsid w:val="00280B58"/>
    <w:rsid w:val="00280CD8"/>
    <w:rsid w:val="0028179A"/>
    <w:rsid w:val="00281890"/>
    <w:rsid w:val="00281BD1"/>
    <w:rsid w:val="00281C72"/>
    <w:rsid w:val="00282460"/>
    <w:rsid w:val="002832DC"/>
    <w:rsid w:val="00284ADC"/>
    <w:rsid w:val="00284EB2"/>
    <w:rsid w:val="00285D56"/>
    <w:rsid w:val="002866EF"/>
    <w:rsid w:val="00290350"/>
    <w:rsid w:val="00290747"/>
    <w:rsid w:val="002912D3"/>
    <w:rsid w:val="00292063"/>
    <w:rsid w:val="00292402"/>
    <w:rsid w:val="00292569"/>
    <w:rsid w:val="002929F2"/>
    <w:rsid w:val="0029352F"/>
    <w:rsid w:val="002946BB"/>
    <w:rsid w:val="002949CB"/>
    <w:rsid w:val="00294E88"/>
    <w:rsid w:val="002958E4"/>
    <w:rsid w:val="002963F4"/>
    <w:rsid w:val="002A1361"/>
    <w:rsid w:val="002A1D06"/>
    <w:rsid w:val="002A2EDC"/>
    <w:rsid w:val="002A3E84"/>
    <w:rsid w:val="002A5D77"/>
    <w:rsid w:val="002A766D"/>
    <w:rsid w:val="002B0592"/>
    <w:rsid w:val="002B1E34"/>
    <w:rsid w:val="002B32B3"/>
    <w:rsid w:val="002B4F65"/>
    <w:rsid w:val="002B6E3B"/>
    <w:rsid w:val="002C0364"/>
    <w:rsid w:val="002C0484"/>
    <w:rsid w:val="002C0A34"/>
    <w:rsid w:val="002C175D"/>
    <w:rsid w:val="002C3280"/>
    <w:rsid w:val="002C32F5"/>
    <w:rsid w:val="002C3713"/>
    <w:rsid w:val="002C3C75"/>
    <w:rsid w:val="002C41A2"/>
    <w:rsid w:val="002C5200"/>
    <w:rsid w:val="002C5F3D"/>
    <w:rsid w:val="002C7479"/>
    <w:rsid w:val="002C764A"/>
    <w:rsid w:val="002C7F2D"/>
    <w:rsid w:val="002D0CDF"/>
    <w:rsid w:val="002D0D3F"/>
    <w:rsid w:val="002D1D38"/>
    <w:rsid w:val="002D2716"/>
    <w:rsid w:val="002D6087"/>
    <w:rsid w:val="002D7167"/>
    <w:rsid w:val="002E0CAB"/>
    <w:rsid w:val="002E1537"/>
    <w:rsid w:val="002E1E4B"/>
    <w:rsid w:val="002E225F"/>
    <w:rsid w:val="002E22F7"/>
    <w:rsid w:val="002E2679"/>
    <w:rsid w:val="002E2DBE"/>
    <w:rsid w:val="002E2FC6"/>
    <w:rsid w:val="002E36E2"/>
    <w:rsid w:val="002E3A73"/>
    <w:rsid w:val="002E4CC1"/>
    <w:rsid w:val="002E5BA1"/>
    <w:rsid w:val="002E5BB9"/>
    <w:rsid w:val="002E5BE3"/>
    <w:rsid w:val="002E663A"/>
    <w:rsid w:val="002E66BB"/>
    <w:rsid w:val="002E70DE"/>
    <w:rsid w:val="002E7B18"/>
    <w:rsid w:val="002F0D5F"/>
    <w:rsid w:val="002F2326"/>
    <w:rsid w:val="002F2838"/>
    <w:rsid w:val="002F2D53"/>
    <w:rsid w:val="002F3263"/>
    <w:rsid w:val="002F3E65"/>
    <w:rsid w:val="002F4646"/>
    <w:rsid w:val="002F535A"/>
    <w:rsid w:val="002F6879"/>
    <w:rsid w:val="002F6DE6"/>
    <w:rsid w:val="00300FCF"/>
    <w:rsid w:val="003010C3"/>
    <w:rsid w:val="0030254A"/>
    <w:rsid w:val="00303BB4"/>
    <w:rsid w:val="00303CB7"/>
    <w:rsid w:val="003041AD"/>
    <w:rsid w:val="003047E8"/>
    <w:rsid w:val="003054A7"/>
    <w:rsid w:val="0030550B"/>
    <w:rsid w:val="00305A0D"/>
    <w:rsid w:val="003120FF"/>
    <w:rsid w:val="003138B6"/>
    <w:rsid w:val="00313BA3"/>
    <w:rsid w:val="00314EFD"/>
    <w:rsid w:val="00317609"/>
    <w:rsid w:val="003206E2"/>
    <w:rsid w:val="00323235"/>
    <w:rsid w:val="00325236"/>
    <w:rsid w:val="003258A1"/>
    <w:rsid w:val="00325AB5"/>
    <w:rsid w:val="00327953"/>
    <w:rsid w:val="00330759"/>
    <w:rsid w:val="003311D9"/>
    <w:rsid w:val="0033268C"/>
    <w:rsid w:val="00336C1C"/>
    <w:rsid w:val="0034031B"/>
    <w:rsid w:val="00342251"/>
    <w:rsid w:val="003422A4"/>
    <w:rsid w:val="00343080"/>
    <w:rsid w:val="00343A2A"/>
    <w:rsid w:val="00344C88"/>
    <w:rsid w:val="00345C3C"/>
    <w:rsid w:val="00347142"/>
    <w:rsid w:val="00353800"/>
    <w:rsid w:val="00354E08"/>
    <w:rsid w:val="00355DD6"/>
    <w:rsid w:val="00356C79"/>
    <w:rsid w:val="00356D3B"/>
    <w:rsid w:val="0036046C"/>
    <w:rsid w:val="00361404"/>
    <w:rsid w:val="0036177E"/>
    <w:rsid w:val="00361B6D"/>
    <w:rsid w:val="00364977"/>
    <w:rsid w:val="00364D66"/>
    <w:rsid w:val="00365F63"/>
    <w:rsid w:val="00366767"/>
    <w:rsid w:val="00371171"/>
    <w:rsid w:val="00371680"/>
    <w:rsid w:val="003722CD"/>
    <w:rsid w:val="00372DBD"/>
    <w:rsid w:val="00373579"/>
    <w:rsid w:val="003749A9"/>
    <w:rsid w:val="00374FCD"/>
    <w:rsid w:val="003805B9"/>
    <w:rsid w:val="003829B7"/>
    <w:rsid w:val="00383784"/>
    <w:rsid w:val="00386165"/>
    <w:rsid w:val="00390F67"/>
    <w:rsid w:val="00391B20"/>
    <w:rsid w:val="0039274A"/>
    <w:rsid w:val="00392E5D"/>
    <w:rsid w:val="0039344C"/>
    <w:rsid w:val="00394B99"/>
    <w:rsid w:val="003966D0"/>
    <w:rsid w:val="00396727"/>
    <w:rsid w:val="0039787E"/>
    <w:rsid w:val="003A0EC0"/>
    <w:rsid w:val="003A27E7"/>
    <w:rsid w:val="003A31DF"/>
    <w:rsid w:val="003A60A8"/>
    <w:rsid w:val="003A72CB"/>
    <w:rsid w:val="003A7D44"/>
    <w:rsid w:val="003B03B9"/>
    <w:rsid w:val="003B10FC"/>
    <w:rsid w:val="003B1E27"/>
    <w:rsid w:val="003B3B71"/>
    <w:rsid w:val="003B4C92"/>
    <w:rsid w:val="003B50F7"/>
    <w:rsid w:val="003B5485"/>
    <w:rsid w:val="003B589E"/>
    <w:rsid w:val="003B5A19"/>
    <w:rsid w:val="003B6307"/>
    <w:rsid w:val="003B7C86"/>
    <w:rsid w:val="003B7FA7"/>
    <w:rsid w:val="003C0A07"/>
    <w:rsid w:val="003C1A7F"/>
    <w:rsid w:val="003C1B17"/>
    <w:rsid w:val="003C1D77"/>
    <w:rsid w:val="003C3352"/>
    <w:rsid w:val="003C4A20"/>
    <w:rsid w:val="003C4A22"/>
    <w:rsid w:val="003C5CA4"/>
    <w:rsid w:val="003C6144"/>
    <w:rsid w:val="003C6D41"/>
    <w:rsid w:val="003D1AB2"/>
    <w:rsid w:val="003D2DA3"/>
    <w:rsid w:val="003D41EF"/>
    <w:rsid w:val="003D6D14"/>
    <w:rsid w:val="003E077B"/>
    <w:rsid w:val="003E0C89"/>
    <w:rsid w:val="003E11AD"/>
    <w:rsid w:val="003E158A"/>
    <w:rsid w:val="003E1777"/>
    <w:rsid w:val="003E1B19"/>
    <w:rsid w:val="003E26F8"/>
    <w:rsid w:val="003E3432"/>
    <w:rsid w:val="003E35F4"/>
    <w:rsid w:val="003E47A8"/>
    <w:rsid w:val="003E4F16"/>
    <w:rsid w:val="003E525E"/>
    <w:rsid w:val="003E69BE"/>
    <w:rsid w:val="003E75D8"/>
    <w:rsid w:val="003F0767"/>
    <w:rsid w:val="003F0847"/>
    <w:rsid w:val="003F1AB7"/>
    <w:rsid w:val="003F2873"/>
    <w:rsid w:val="003F2A4B"/>
    <w:rsid w:val="003F3769"/>
    <w:rsid w:val="003F3F3E"/>
    <w:rsid w:val="003F5DC3"/>
    <w:rsid w:val="0040020A"/>
    <w:rsid w:val="00400E3E"/>
    <w:rsid w:val="00401538"/>
    <w:rsid w:val="00401A4C"/>
    <w:rsid w:val="004032AF"/>
    <w:rsid w:val="00403452"/>
    <w:rsid w:val="0040384E"/>
    <w:rsid w:val="00406025"/>
    <w:rsid w:val="004075A2"/>
    <w:rsid w:val="004102CB"/>
    <w:rsid w:val="004137A4"/>
    <w:rsid w:val="00413F9F"/>
    <w:rsid w:val="0041509C"/>
    <w:rsid w:val="004152B6"/>
    <w:rsid w:val="004152F5"/>
    <w:rsid w:val="004161EA"/>
    <w:rsid w:val="00421253"/>
    <w:rsid w:val="004228BD"/>
    <w:rsid w:val="00422F68"/>
    <w:rsid w:val="004250A0"/>
    <w:rsid w:val="00427C1D"/>
    <w:rsid w:val="00430884"/>
    <w:rsid w:val="004311EB"/>
    <w:rsid w:val="00434482"/>
    <w:rsid w:val="0043496A"/>
    <w:rsid w:val="00435221"/>
    <w:rsid w:val="00435994"/>
    <w:rsid w:val="00435D6B"/>
    <w:rsid w:val="004407A8"/>
    <w:rsid w:val="0044262B"/>
    <w:rsid w:val="00444D1A"/>
    <w:rsid w:val="00444F6B"/>
    <w:rsid w:val="00447819"/>
    <w:rsid w:val="004508AC"/>
    <w:rsid w:val="00451764"/>
    <w:rsid w:val="004524CB"/>
    <w:rsid w:val="0045378F"/>
    <w:rsid w:val="004537B8"/>
    <w:rsid w:val="00453BB9"/>
    <w:rsid w:val="00454FCC"/>
    <w:rsid w:val="004552FF"/>
    <w:rsid w:val="00456105"/>
    <w:rsid w:val="00457E82"/>
    <w:rsid w:val="004624C4"/>
    <w:rsid w:val="00462623"/>
    <w:rsid w:val="004628D7"/>
    <w:rsid w:val="00464D1A"/>
    <w:rsid w:val="00465120"/>
    <w:rsid w:val="00465BD8"/>
    <w:rsid w:val="004663BC"/>
    <w:rsid w:val="00467281"/>
    <w:rsid w:val="00470036"/>
    <w:rsid w:val="00473053"/>
    <w:rsid w:val="00473A98"/>
    <w:rsid w:val="00475B13"/>
    <w:rsid w:val="00476193"/>
    <w:rsid w:val="0047660D"/>
    <w:rsid w:val="0047683A"/>
    <w:rsid w:val="00476905"/>
    <w:rsid w:val="00476F28"/>
    <w:rsid w:val="00480154"/>
    <w:rsid w:val="00482ACC"/>
    <w:rsid w:val="0048334E"/>
    <w:rsid w:val="00484719"/>
    <w:rsid w:val="00485185"/>
    <w:rsid w:val="00486E02"/>
    <w:rsid w:val="00490978"/>
    <w:rsid w:val="00490EC3"/>
    <w:rsid w:val="0049327F"/>
    <w:rsid w:val="00496910"/>
    <w:rsid w:val="004A163D"/>
    <w:rsid w:val="004A2E50"/>
    <w:rsid w:val="004A4196"/>
    <w:rsid w:val="004A48A1"/>
    <w:rsid w:val="004A643F"/>
    <w:rsid w:val="004A7946"/>
    <w:rsid w:val="004A7EDB"/>
    <w:rsid w:val="004B1BAC"/>
    <w:rsid w:val="004B1FF7"/>
    <w:rsid w:val="004B239F"/>
    <w:rsid w:val="004B5C95"/>
    <w:rsid w:val="004B5F25"/>
    <w:rsid w:val="004B639C"/>
    <w:rsid w:val="004B7921"/>
    <w:rsid w:val="004C0250"/>
    <w:rsid w:val="004C1FA8"/>
    <w:rsid w:val="004C393A"/>
    <w:rsid w:val="004C40A2"/>
    <w:rsid w:val="004C6997"/>
    <w:rsid w:val="004C6D40"/>
    <w:rsid w:val="004C6EB2"/>
    <w:rsid w:val="004C73C9"/>
    <w:rsid w:val="004C78B8"/>
    <w:rsid w:val="004D14DA"/>
    <w:rsid w:val="004D4B04"/>
    <w:rsid w:val="004D7023"/>
    <w:rsid w:val="004D7083"/>
    <w:rsid w:val="004D7F73"/>
    <w:rsid w:val="004E109C"/>
    <w:rsid w:val="004E2EDF"/>
    <w:rsid w:val="004E3477"/>
    <w:rsid w:val="004E408F"/>
    <w:rsid w:val="004E4F3E"/>
    <w:rsid w:val="004E4FBE"/>
    <w:rsid w:val="004E5309"/>
    <w:rsid w:val="004E641D"/>
    <w:rsid w:val="004E6C24"/>
    <w:rsid w:val="004E78A3"/>
    <w:rsid w:val="004F0111"/>
    <w:rsid w:val="004F0615"/>
    <w:rsid w:val="004F1B7B"/>
    <w:rsid w:val="004F2815"/>
    <w:rsid w:val="004F4733"/>
    <w:rsid w:val="004F53BE"/>
    <w:rsid w:val="004F7BB8"/>
    <w:rsid w:val="00500D2A"/>
    <w:rsid w:val="0050208E"/>
    <w:rsid w:val="00502123"/>
    <w:rsid w:val="00503600"/>
    <w:rsid w:val="00505FB4"/>
    <w:rsid w:val="00506097"/>
    <w:rsid w:val="005066B3"/>
    <w:rsid w:val="005071D3"/>
    <w:rsid w:val="00515140"/>
    <w:rsid w:val="005154C8"/>
    <w:rsid w:val="005158DB"/>
    <w:rsid w:val="0051595A"/>
    <w:rsid w:val="0051622E"/>
    <w:rsid w:val="0051641E"/>
    <w:rsid w:val="00516D10"/>
    <w:rsid w:val="005171C5"/>
    <w:rsid w:val="0051763D"/>
    <w:rsid w:val="0051786E"/>
    <w:rsid w:val="005210D4"/>
    <w:rsid w:val="0052257B"/>
    <w:rsid w:val="00522690"/>
    <w:rsid w:val="00522BE7"/>
    <w:rsid w:val="00522E58"/>
    <w:rsid w:val="00523726"/>
    <w:rsid w:val="005248C8"/>
    <w:rsid w:val="00524AEB"/>
    <w:rsid w:val="0052568E"/>
    <w:rsid w:val="00527E2E"/>
    <w:rsid w:val="00531E2B"/>
    <w:rsid w:val="00532E19"/>
    <w:rsid w:val="005345DF"/>
    <w:rsid w:val="005362AD"/>
    <w:rsid w:val="00537C75"/>
    <w:rsid w:val="00541C5C"/>
    <w:rsid w:val="00542CCB"/>
    <w:rsid w:val="005436CD"/>
    <w:rsid w:val="00544FED"/>
    <w:rsid w:val="0054589F"/>
    <w:rsid w:val="0054790D"/>
    <w:rsid w:val="00550609"/>
    <w:rsid w:val="00552762"/>
    <w:rsid w:val="0055291F"/>
    <w:rsid w:val="00553790"/>
    <w:rsid w:val="00556375"/>
    <w:rsid w:val="00557FC1"/>
    <w:rsid w:val="0056068C"/>
    <w:rsid w:val="00561ED0"/>
    <w:rsid w:val="00561FC5"/>
    <w:rsid w:val="00562264"/>
    <w:rsid w:val="00566D90"/>
    <w:rsid w:val="00566FD3"/>
    <w:rsid w:val="00566FFB"/>
    <w:rsid w:val="0057139F"/>
    <w:rsid w:val="00571CCC"/>
    <w:rsid w:val="0057433D"/>
    <w:rsid w:val="0057458C"/>
    <w:rsid w:val="00574741"/>
    <w:rsid w:val="00574A8B"/>
    <w:rsid w:val="00576739"/>
    <w:rsid w:val="00576773"/>
    <w:rsid w:val="005777E7"/>
    <w:rsid w:val="00580AF4"/>
    <w:rsid w:val="00582C2F"/>
    <w:rsid w:val="00583CC2"/>
    <w:rsid w:val="005845F8"/>
    <w:rsid w:val="00585215"/>
    <w:rsid w:val="00587303"/>
    <w:rsid w:val="00592723"/>
    <w:rsid w:val="005940DA"/>
    <w:rsid w:val="00594DC1"/>
    <w:rsid w:val="005952AB"/>
    <w:rsid w:val="005A0882"/>
    <w:rsid w:val="005A1821"/>
    <w:rsid w:val="005A1ED4"/>
    <w:rsid w:val="005A2B61"/>
    <w:rsid w:val="005A4C16"/>
    <w:rsid w:val="005A75F6"/>
    <w:rsid w:val="005A7A89"/>
    <w:rsid w:val="005B38B7"/>
    <w:rsid w:val="005B403A"/>
    <w:rsid w:val="005B53ED"/>
    <w:rsid w:val="005B5DC4"/>
    <w:rsid w:val="005B620F"/>
    <w:rsid w:val="005C1806"/>
    <w:rsid w:val="005C2096"/>
    <w:rsid w:val="005C224A"/>
    <w:rsid w:val="005C2688"/>
    <w:rsid w:val="005C2CF2"/>
    <w:rsid w:val="005C5028"/>
    <w:rsid w:val="005C57D7"/>
    <w:rsid w:val="005C6B3D"/>
    <w:rsid w:val="005C75F5"/>
    <w:rsid w:val="005C7BE7"/>
    <w:rsid w:val="005D003B"/>
    <w:rsid w:val="005D02D6"/>
    <w:rsid w:val="005D03AE"/>
    <w:rsid w:val="005D11A2"/>
    <w:rsid w:val="005D158F"/>
    <w:rsid w:val="005D17A2"/>
    <w:rsid w:val="005D1963"/>
    <w:rsid w:val="005D5277"/>
    <w:rsid w:val="005D587C"/>
    <w:rsid w:val="005D6B49"/>
    <w:rsid w:val="005D73F6"/>
    <w:rsid w:val="005D7607"/>
    <w:rsid w:val="005E0C76"/>
    <w:rsid w:val="005E48E3"/>
    <w:rsid w:val="005E5016"/>
    <w:rsid w:val="005E5A5B"/>
    <w:rsid w:val="005E640F"/>
    <w:rsid w:val="005F0561"/>
    <w:rsid w:val="005F22C0"/>
    <w:rsid w:val="005F25D5"/>
    <w:rsid w:val="005F25F1"/>
    <w:rsid w:val="005F33EE"/>
    <w:rsid w:val="005F45D9"/>
    <w:rsid w:val="005F5866"/>
    <w:rsid w:val="005F5C61"/>
    <w:rsid w:val="005F5E0A"/>
    <w:rsid w:val="005F5FB5"/>
    <w:rsid w:val="005F686C"/>
    <w:rsid w:val="005F6BE8"/>
    <w:rsid w:val="005F6D32"/>
    <w:rsid w:val="00600097"/>
    <w:rsid w:val="00600341"/>
    <w:rsid w:val="00602561"/>
    <w:rsid w:val="00602E64"/>
    <w:rsid w:val="00604744"/>
    <w:rsid w:val="006050B9"/>
    <w:rsid w:val="0061282E"/>
    <w:rsid w:val="006143A4"/>
    <w:rsid w:val="00614B25"/>
    <w:rsid w:val="00616687"/>
    <w:rsid w:val="006177AB"/>
    <w:rsid w:val="006218B6"/>
    <w:rsid w:val="00624897"/>
    <w:rsid w:val="00625930"/>
    <w:rsid w:val="00625A93"/>
    <w:rsid w:val="006260E9"/>
    <w:rsid w:val="00626349"/>
    <w:rsid w:val="0063299A"/>
    <w:rsid w:val="006329A7"/>
    <w:rsid w:val="00632BE5"/>
    <w:rsid w:val="00633E73"/>
    <w:rsid w:val="0063467A"/>
    <w:rsid w:val="00634D2B"/>
    <w:rsid w:val="00634DC7"/>
    <w:rsid w:val="00635248"/>
    <w:rsid w:val="006353AA"/>
    <w:rsid w:val="0063773C"/>
    <w:rsid w:val="00637C2D"/>
    <w:rsid w:val="0064005E"/>
    <w:rsid w:val="0064034A"/>
    <w:rsid w:val="00640F68"/>
    <w:rsid w:val="0064163B"/>
    <w:rsid w:val="006419C8"/>
    <w:rsid w:val="00642144"/>
    <w:rsid w:val="00642E90"/>
    <w:rsid w:val="00642ECC"/>
    <w:rsid w:val="006437B6"/>
    <w:rsid w:val="00643973"/>
    <w:rsid w:val="00644651"/>
    <w:rsid w:val="006509D3"/>
    <w:rsid w:val="00651199"/>
    <w:rsid w:val="00652587"/>
    <w:rsid w:val="00654285"/>
    <w:rsid w:val="00655A29"/>
    <w:rsid w:val="0065601E"/>
    <w:rsid w:val="006565BE"/>
    <w:rsid w:val="00660F09"/>
    <w:rsid w:val="006614FE"/>
    <w:rsid w:val="00661D83"/>
    <w:rsid w:val="00662A7E"/>
    <w:rsid w:val="00667026"/>
    <w:rsid w:val="006670F1"/>
    <w:rsid w:val="00667236"/>
    <w:rsid w:val="00670E6F"/>
    <w:rsid w:val="006713D9"/>
    <w:rsid w:val="00673AF3"/>
    <w:rsid w:val="00674238"/>
    <w:rsid w:val="0067694A"/>
    <w:rsid w:val="006806B5"/>
    <w:rsid w:val="00680B26"/>
    <w:rsid w:val="00680CD3"/>
    <w:rsid w:val="0068322F"/>
    <w:rsid w:val="00685057"/>
    <w:rsid w:val="006855C9"/>
    <w:rsid w:val="00686430"/>
    <w:rsid w:val="00686B35"/>
    <w:rsid w:val="006910F3"/>
    <w:rsid w:val="0069301C"/>
    <w:rsid w:val="00694E50"/>
    <w:rsid w:val="006964B1"/>
    <w:rsid w:val="006A0913"/>
    <w:rsid w:val="006A1D77"/>
    <w:rsid w:val="006A27E3"/>
    <w:rsid w:val="006A36D8"/>
    <w:rsid w:val="006A4B67"/>
    <w:rsid w:val="006A5481"/>
    <w:rsid w:val="006A6120"/>
    <w:rsid w:val="006B0EBA"/>
    <w:rsid w:val="006B0F17"/>
    <w:rsid w:val="006B139B"/>
    <w:rsid w:val="006B13FB"/>
    <w:rsid w:val="006B20C0"/>
    <w:rsid w:val="006B2F2E"/>
    <w:rsid w:val="006B3BF8"/>
    <w:rsid w:val="006B5714"/>
    <w:rsid w:val="006B5BF3"/>
    <w:rsid w:val="006B69F7"/>
    <w:rsid w:val="006C1BAA"/>
    <w:rsid w:val="006C20E7"/>
    <w:rsid w:val="006C440D"/>
    <w:rsid w:val="006C637B"/>
    <w:rsid w:val="006C72EF"/>
    <w:rsid w:val="006C786F"/>
    <w:rsid w:val="006C7898"/>
    <w:rsid w:val="006C7C51"/>
    <w:rsid w:val="006C7D6E"/>
    <w:rsid w:val="006D0C20"/>
    <w:rsid w:val="006D11BC"/>
    <w:rsid w:val="006D1AC4"/>
    <w:rsid w:val="006D44A8"/>
    <w:rsid w:val="006D6EFE"/>
    <w:rsid w:val="006D7690"/>
    <w:rsid w:val="006D786E"/>
    <w:rsid w:val="006D7D2F"/>
    <w:rsid w:val="006E03FF"/>
    <w:rsid w:val="006E041F"/>
    <w:rsid w:val="006E0A12"/>
    <w:rsid w:val="006E1B63"/>
    <w:rsid w:val="006E275D"/>
    <w:rsid w:val="006E28CE"/>
    <w:rsid w:val="006E28D4"/>
    <w:rsid w:val="006E32F7"/>
    <w:rsid w:val="006E6043"/>
    <w:rsid w:val="006E781D"/>
    <w:rsid w:val="006E7A41"/>
    <w:rsid w:val="006F0E05"/>
    <w:rsid w:val="006F45F9"/>
    <w:rsid w:val="006F4F04"/>
    <w:rsid w:val="006F5F42"/>
    <w:rsid w:val="006F7469"/>
    <w:rsid w:val="00703397"/>
    <w:rsid w:val="00704021"/>
    <w:rsid w:val="007043C9"/>
    <w:rsid w:val="00704E9B"/>
    <w:rsid w:val="00706C72"/>
    <w:rsid w:val="0070747D"/>
    <w:rsid w:val="00707607"/>
    <w:rsid w:val="00707C65"/>
    <w:rsid w:val="00711219"/>
    <w:rsid w:val="00711AB8"/>
    <w:rsid w:val="007124B4"/>
    <w:rsid w:val="00712C28"/>
    <w:rsid w:val="00713D27"/>
    <w:rsid w:val="00714845"/>
    <w:rsid w:val="007158C0"/>
    <w:rsid w:val="00716975"/>
    <w:rsid w:val="0072108E"/>
    <w:rsid w:val="00722D6A"/>
    <w:rsid w:val="00723F45"/>
    <w:rsid w:val="00724391"/>
    <w:rsid w:val="007244DF"/>
    <w:rsid w:val="00724A02"/>
    <w:rsid w:val="00724FAB"/>
    <w:rsid w:val="00725E90"/>
    <w:rsid w:val="0072733A"/>
    <w:rsid w:val="007278F2"/>
    <w:rsid w:val="00727BFF"/>
    <w:rsid w:val="00730E2E"/>
    <w:rsid w:val="0073360E"/>
    <w:rsid w:val="00733AA5"/>
    <w:rsid w:val="00733B38"/>
    <w:rsid w:val="00734326"/>
    <w:rsid w:val="007426E8"/>
    <w:rsid w:val="00744779"/>
    <w:rsid w:val="00746A81"/>
    <w:rsid w:val="0074774F"/>
    <w:rsid w:val="007509F3"/>
    <w:rsid w:val="00751208"/>
    <w:rsid w:val="007520CD"/>
    <w:rsid w:val="0075440B"/>
    <w:rsid w:val="00756B78"/>
    <w:rsid w:val="00757B0E"/>
    <w:rsid w:val="00757F0B"/>
    <w:rsid w:val="0076180C"/>
    <w:rsid w:val="00763A4B"/>
    <w:rsid w:val="00765414"/>
    <w:rsid w:val="00765EE4"/>
    <w:rsid w:val="007662DA"/>
    <w:rsid w:val="00766A40"/>
    <w:rsid w:val="00767E33"/>
    <w:rsid w:val="00770E78"/>
    <w:rsid w:val="00770F9B"/>
    <w:rsid w:val="00771640"/>
    <w:rsid w:val="00771728"/>
    <w:rsid w:val="00771AAA"/>
    <w:rsid w:val="00771CFD"/>
    <w:rsid w:val="007727A2"/>
    <w:rsid w:val="00773E56"/>
    <w:rsid w:val="007744DE"/>
    <w:rsid w:val="00775422"/>
    <w:rsid w:val="00775BFE"/>
    <w:rsid w:val="00776402"/>
    <w:rsid w:val="007814BB"/>
    <w:rsid w:val="00781CEE"/>
    <w:rsid w:val="007832C2"/>
    <w:rsid w:val="007851A5"/>
    <w:rsid w:val="00785726"/>
    <w:rsid w:val="00785D80"/>
    <w:rsid w:val="00786E1A"/>
    <w:rsid w:val="00786E7A"/>
    <w:rsid w:val="007901CF"/>
    <w:rsid w:val="00790836"/>
    <w:rsid w:val="00790C95"/>
    <w:rsid w:val="00790CE9"/>
    <w:rsid w:val="00792239"/>
    <w:rsid w:val="00795BD9"/>
    <w:rsid w:val="007962C1"/>
    <w:rsid w:val="00796413"/>
    <w:rsid w:val="00796578"/>
    <w:rsid w:val="007A3E4E"/>
    <w:rsid w:val="007A3E77"/>
    <w:rsid w:val="007A400E"/>
    <w:rsid w:val="007A4464"/>
    <w:rsid w:val="007A664C"/>
    <w:rsid w:val="007A6AC5"/>
    <w:rsid w:val="007A79B7"/>
    <w:rsid w:val="007B3390"/>
    <w:rsid w:val="007B33A8"/>
    <w:rsid w:val="007B3CF7"/>
    <w:rsid w:val="007B4DA6"/>
    <w:rsid w:val="007B7CE2"/>
    <w:rsid w:val="007C2AF6"/>
    <w:rsid w:val="007C3819"/>
    <w:rsid w:val="007C4244"/>
    <w:rsid w:val="007C47A3"/>
    <w:rsid w:val="007C703E"/>
    <w:rsid w:val="007D0864"/>
    <w:rsid w:val="007D3340"/>
    <w:rsid w:val="007D57D1"/>
    <w:rsid w:val="007D716E"/>
    <w:rsid w:val="007E124F"/>
    <w:rsid w:val="007E2D49"/>
    <w:rsid w:val="007E630F"/>
    <w:rsid w:val="007E6880"/>
    <w:rsid w:val="007E6AF4"/>
    <w:rsid w:val="007E7817"/>
    <w:rsid w:val="007F18B3"/>
    <w:rsid w:val="007F18FC"/>
    <w:rsid w:val="007F1D35"/>
    <w:rsid w:val="007F3B5B"/>
    <w:rsid w:val="007F5BE0"/>
    <w:rsid w:val="007F72DF"/>
    <w:rsid w:val="007F735A"/>
    <w:rsid w:val="00801384"/>
    <w:rsid w:val="008025FF"/>
    <w:rsid w:val="00802A69"/>
    <w:rsid w:val="00803687"/>
    <w:rsid w:val="0080390A"/>
    <w:rsid w:val="00804455"/>
    <w:rsid w:val="00805F62"/>
    <w:rsid w:val="00810AB9"/>
    <w:rsid w:val="008114D4"/>
    <w:rsid w:val="008117B1"/>
    <w:rsid w:val="00812E06"/>
    <w:rsid w:val="008135E2"/>
    <w:rsid w:val="008158C3"/>
    <w:rsid w:val="00817169"/>
    <w:rsid w:val="0082152F"/>
    <w:rsid w:val="008225AA"/>
    <w:rsid w:val="008225DB"/>
    <w:rsid w:val="0082371F"/>
    <w:rsid w:val="008264C2"/>
    <w:rsid w:val="00827378"/>
    <w:rsid w:val="0082765F"/>
    <w:rsid w:val="00827E3D"/>
    <w:rsid w:val="0083065B"/>
    <w:rsid w:val="0083209B"/>
    <w:rsid w:val="00832A84"/>
    <w:rsid w:val="008335E5"/>
    <w:rsid w:val="008340A9"/>
    <w:rsid w:val="008408A1"/>
    <w:rsid w:val="00840EDF"/>
    <w:rsid w:val="00841B98"/>
    <w:rsid w:val="008425D0"/>
    <w:rsid w:val="00842ECB"/>
    <w:rsid w:val="008447AB"/>
    <w:rsid w:val="00844A68"/>
    <w:rsid w:val="00846868"/>
    <w:rsid w:val="008474CA"/>
    <w:rsid w:val="0085209C"/>
    <w:rsid w:val="00852519"/>
    <w:rsid w:val="008530D8"/>
    <w:rsid w:val="008551E6"/>
    <w:rsid w:val="0085532A"/>
    <w:rsid w:val="00856679"/>
    <w:rsid w:val="00856E6D"/>
    <w:rsid w:val="0085761B"/>
    <w:rsid w:val="00860602"/>
    <w:rsid w:val="00863066"/>
    <w:rsid w:val="00864987"/>
    <w:rsid w:val="008703C4"/>
    <w:rsid w:val="008711B6"/>
    <w:rsid w:val="00871A69"/>
    <w:rsid w:val="00872C27"/>
    <w:rsid w:val="00873AEF"/>
    <w:rsid w:val="00873E7D"/>
    <w:rsid w:val="00874E63"/>
    <w:rsid w:val="0087557C"/>
    <w:rsid w:val="00875CB8"/>
    <w:rsid w:val="00880274"/>
    <w:rsid w:val="008803CF"/>
    <w:rsid w:val="00881EDD"/>
    <w:rsid w:val="008822F3"/>
    <w:rsid w:val="008836CD"/>
    <w:rsid w:val="00885C0A"/>
    <w:rsid w:val="00885E59"/>
    <w:rsid w:val="00887069"/>
    <w:rsid w:val="008920B5"/>
    <w:rsid w:val="008922EE"/>
    <w:rsid w:val="00892CC2"/>
    <w:rsid w:val="0089309C"/>
    <w:rsid w:val="00893404"/>
    <w:rsid w:val="00894F3A"/>
    <w:rsid w:val="0089583F"/>
    <w:rsid w:val="00895CAA"/>
    <w:rsid w:val="00896375"/>
    <w:rsid w:val="00897A02"/>
    <w:rsid w:val="00897D79"/>
    <w:rsid w:val="008A313E"/>
    <w:rsid w:val="008A4844"/>
    <w:rsid w:val="008A7F1C"/>
    <w:rsid w:val="008B04EF"/>
    <w:rsid w:val="008B0BC0"/>
    <w:rsid w:val="008B1F15"/>
    <w:rsid w:val="008B2064"/>
    <w:rsid w:val="008B5C06"/>
    <w:rsid w:val="008C0BEF"/>
    <w:rsid w:val="008C2421"/>
    <w:rsid w:val="008C2784"/>
    <w:rsid w:val="008C34E8"/>
    <w:rsid w:val="008C4295"/>
    <w:rsid w:val="008C4815"/>
    <w:rsid w:val="008C48CC"/>
    <w:rsid w:val="008C51BF"/>
    <w:rsid w:val="008C6DB4"/>
    <w:rsid w:val="008C7331"/>
    <w:rsid w:val="008C7AAA"/>
    <w:rsid w:val="008D087C"/>
    <w:rsid w:val="008D0AB6"/>
    <w:rsid w:val="008D1EE7"/>
    <w:rsid w:val="008D24BB"/>
    <w:rsid w:val="008D3539"/>
    <w:rsid w:val="008D3856"/>
    <w:rsid w:val="008D65AD"/>
    <w:rsid w:val="008D7320"/>
    <w:rsid w:val="008D7C0D"/>
    <w:rsid w:val="008D7C95"/>
    <w:rsid w:val="008E1B81"/>
    <w:rsid w:val="008E1E20"/>
    <w:rsid w:val="008E2E38"/>
    <w:rsid w:val="008E38E0"/>
    <w:rsid w:val="008E4117"/>
    <w:rsid w:val="008E4E62"/>
    <w:rsid w:val="008E4F8A"/>
    <w:rsid w:val="008E56F1"/>
    <w:rsid w:val="008E6A51"/>
    <w:rsid w:val="008E7A4D"/>
    <w:rsid w:val="008F0033"/>
    <w:rsid w:val="008F0193"/>
    <w:rsid w:val="008F2918"/>
    <w:rsid w:val="008F370E"/>
    <w:rsid w:val="008F517C"/>
    <w:rsid w:val="008F6A07"/>
    <w:rsid w:val="008F7D25"/>
    <w:rsid w:val="00900641"/>
    <w:rsid w:val="009006DB"/>
    <w:rsid w:val="00902A0F"/>
    <w:rsid w:val="009036D0"/>
    <w:rsid w:val="009041B4"/>
    <w:rsid w:val="0090530D"/>
    <w:rsid w:val="0090531C"/>
    <w:rsid w:val="00905BD8"/>
    <w:rsid w:val="0090607D"/>
    <w:rsid w:val="00906369"/>
    <w:rsid w:val="0090662F"/>
    <w:rsid w:val="00907849"/>
    <w:rsid w:val="009078FF"/>
    <w:rsid w:val="00907B0F"/>
    <w:rsid w:val="00910E7B"/>
    <w:rsid w:val="00911354"/>
    <w:rsid w:val="00911F6D"/>
    <w:rsid w:val="00912134"/>
    <w:rsid w:val="009129F5"/>
    <w:rsid w:val="00913AF1"/>
    <w:rsid w:val="00914AF7"/>
    <w:rsid w:val="00915EDD"/>
    <w:rsid w:val="00916507"/>
    <w:rsid w:val="009168AA"/>
    <w:rsid w:val="009168E5"/>
    <w:rsid w:val="00920E49"/>
    <w:rsid w:val="0092155C"/>
    <w:rsid w:val="00921766"/>
    <w:rsid w:val="00922589"/>
    <w:rsid w:val="0092295F"/>
    <w:rsid w:val="00923289"/>
    <w:rsid w:val="009252E9"/>
    <w:rsid w:val="00925E01"/>
    <w:rsid w:val="00926002"/>
    <w:rsid w:val="00930D51"/>
    <w:rsid w:val="00931177"/>
    <w:rsid w:val="009322D9"/>
    <w:rsid w:val="009325E0"/>
    <w:rsid w:val="009342FB"/>
    <w:rsid w:val="00934DFF"/>
    <w:rsid w:val="00934F37"/>
    <w:rsid w:val="00935193"/>
    <w:rsid w:val="009356BB"/>
    <w:rsid w:val="00935DF7"/>
    <w:rsid w:val="00935FB5"/>
    <w:rsid w:val="009367B1"/>
    <w:rsid w:val="0093730E"/>
    <w:rsid w:val="009419A3"/>
    <w:rsid w:val="00943963"/>
    <w:rsid w:val="00944A76"/>
    <w:rsid w:val="00944D78"/>
    <w:rsid w:val="00945802"/>
    <w:rsid w:val="0094603F"/>
    <w:rsid w:val="00946150"/>
    <w:rsid w:val="00947C53"/>
    <w:rsid w:val="0095389B"/>
    <w:rsid w:val="00954F4E"/>
    <w:rsid w:val="00955F32"/>
    <w:rsid w:val="00957777"/>
    <w:rsid w:val="0096016A"/>
    <w:rsid w:val="00960459"/>
    <w:rsid w:val="009612E3"/>
    <w:rsid w:val="00962990"/>
    <w:rsid w:val="00964B1D"/>
    <w:rsid w:val="00965202"/>
    <w:rsid w:val="0096565E"/>
    <w:rsid w:val="00967B04"/>
    <w:rsid w:val="009714F5"/>
    <w:rsid w:val="00973057"/>
    <w:rsid w:val="00974A53"/>
    <w:rsid w:val="00975C4F"/>
    <w:rsid w:val="00976048"/>
    <w:rsid w:val="00976084"/>
    <w:rsid w:val="0097745C"/>
    <w:rsid w:val="00980C5A"/>
    <w:rsid w:val="00981159"/>
    <w:rsid w:val="00982AF3"/>
    <w:rsid w:val="00986F38"/>
    <w:rsid w:val="0099097E"/>
    <w:rsid w:val="009915C0"/>
    <w:rsid w:val="009922A5"/>
    <w:rsid w:val="00994C5A"/>
    <w:rsid w:val="0099537A"/>
    <w:rsid w:val="009959D5"/>
    <w:rsid w:val="00997319"/>
    <w:rsid w:val="009A0441"/>
    <w:rsid w:val="009A060C"/>
    <w:rsid w:val="009A0E06"/>
    <w:rsid w:val="009A0E09"/>
    <w:rsid w:val="009A0F42"/>
    <w:rsid w:val="009A30D0"/>
    <w:rsid w:val="009A35C8"/>
    <w:rsid w:val="009A6D04"/>
    <w:rsid w:val="009A7415"/>
    <w:rsid w:val="009B0103"/>
    <w:rsid w:val="009B18A3"/>
    <w:rsid w:val="009B28B2"/>
    <w:rsid w:val="009B73A5"/>
    <w:rsid w:val="009C0766"/>
    <w:rsid w:val="009C1C7B"/>
    <w:rsid w:val="009C48C2"/>
    <w:rsid w:val="009C49A9"/>
    <w:rsid w:val="009C5259"/>
    <w:rsid w:val="009C6559"/>
    <w:rsid w:val="009C6AEB"/>
    <w:rsid w:val="009C6EF9"/>
    <w:rsid w:val="009C701E"/>
    <w:rsid w:val="009C7117"/>
    <w:rsid w:val="009C7409"/>
    <w:rsid w:val="009D014C"/>
    <w:rsid w:val="009D07DA"/>
    <w:rsid w:val="009D0E5E"/>
    <w:rsid w:val="009D0FF0"/>
    <w:rsid w:val="009D307D"/>
    <w:rsid w:val="009D3E3B"/>
    <w:rsid w:val="009D534F"/>
    <w:rsid w:val="009D6CE6"/>
    <w:rsid w:val="009D73BA"/>
    <w:rsid w:val="009E05DF"/>
    <w:rsid w:val="009E10B8"/>
    <w:rsid w:val="009E28A7"/>
    <w:rsid w:val="009E2D85"/>
    <w:rsid w:val="009E6810"/>
    <w:rsid w:val="009F00F3"/>
    <w:rsid w:val="009F0637"/>
    <w:rsid w:val="009F0736"/>
    <w:rsid w:val="009F3445"/>
    <w:rsid w:val="009F5018"/>
    <w:rsid w:val="009F5934"/>
    <w:rsid w:val="009F5C96"/>
    <w:rsid w:val="009F5DFC"/>
    <w:rsid w:val="009F60FB"/>
    <w:rsid w:val="009F650E"/>
    <w:rsid w:val="009F6850"/>
    <w:rsid w:val="009F7DC5"/>
    <w:rsid w:val="00A00E37"/>
    <w:rsid w:val="00A01CE2"/>
    <w:rsid w:val="00A03745"/>
    <w:rsid w:val="00A0383D"/>
    <w:rsid w:val="00A054D4"/>
    <w:rsid w:val="00A05730"/>
    <w:rsid w:val="00A06E3A"/>
    <w:rsid w:val="00A070F7"/>
    <w:rsid w:val="00A07865"/>
    <w:rsid w:val="00A07955"/>
    <w:rsid w:val="00A07DFE"/>
    <w:rsid w:val="00A102F7"/>
    <w:rsid w:val="00A1169D"/>
    <w:rsid w:val="00A13E30"/>
    <w:rsid w:val="00A14281"/>
    <w:rsid w:val="00A147CC"/>
    <w:rsid w:val="00A14D14"/>
    <w:rsid w:val="00A14E2E"/>
    <w:rsid w:val="00A15215"/>
    <w:rsid w:val="00A17CE5"/>
    <w:rsid w:val="00A2099D"/>
    <w:rsid w:val="00A20B77"/>
    <w:rsid w:val="00A2114C"/>
    <w:rsid w:val="00A22B82"/>
    <w:rsid w:val="00A22C06"/>
    <w:rsid w:val="00A2305E"/>
    <w:rsid w:val="00A236FE"/>
    <w:rsid w:val="00A24324"/>
    <w:rsid w:val="00A24BA0"/>
    <w:rsid w:val="00A253ED"/>
    <w:rsid w:val="00A25CCA"/>
    <w:rsid w:val="00A304C7"/>
    <w:rsid w:val="00A30A8D"/>
    <w:rsid w:val="00A337B2"/>
    <w:rsid w:val="00A34CCE"/>
    <w:rsid w:val="00A3745D"/>
    <w:rsid w:val="00A37670"/>
    <w:rsid w:val="00A4071C"/>
    <w:rsid w:val="00A41C4E"/>
    <w:rsid w:val="00A43CB5"/>
    <w:rsid w:val="00A43D6A"/>
    <w:rsid w:val="00A44562"/>
    <w:rsid w:val="00A449A8"/>
    <w:rsid w:val="00A45D75"/>
    <w:rsid w:val="00A47055"/>
    <w:rsid w:val="00A5091C"/>
    <w:rsid w:val="00A53005"/>
    <w:rsid w:val="00A53CB7"/>
    <w:rsid w:val="00A54B0D"/>
    <w:rsid w:val="00A55046"/>
    <w:rsid w:val="00A55754"/>
    <w:rsid w:val="00A56F15"/>
    <w:rsid w:val="00A570C6"/>
    <w:rsid w:val="00A571A0"/>
    <w:rsid w:val="00A57675"/>
    <w:rsid w:val="00A6073E"/>
    <w:rsid w:val="00A60A07"/>
    <w:rsid w:val="00A65822"/>
    <w:rsid w:val="00A6669D"/>
    <w:rsid w:val="00A701CD"/>
    <w:rsid w:val="00A72715"/>
    <w:rsid w:val="00A73A21"/>
    <w:rsid w:val="00A73FFE"/>
    <w:rsid w:val="00A750C1"/>
    <w:rsid w:val="00A75CC2"/>
    <w:rsid w:val="00A75F85"/>
    <w:rsid w:val="00A77D69"/>
    <w:rsid w:val="00A81A74"/>
    <w:rsid w:val="00A823F3"/>
    <w:rsid w:val="00A8543D"/>
    <w:rsid w:val="00A87918"/>
    <w:rsid w:val="00A90E4D"/>
    <w:rsid w:val="00A90E8D"/>
    <w:rsid w:val="00A9146E"/>
    <w:rsid w:val="00A92F28"/>
    <w:rsid w:val="00A94EA1"/>
    <w:rsid w:val="00A96CB1"/>
    <w:rsid w:val="00AA1BAE"/>
    <w:rsid w:val="00AA236E"/>
    <w:rsid w:val="00AA2C69"/>
    <w:rsid w:val="00AA300C"/>
    <w:rsid w:val="00AA38BB"/>
    <w:rsid w:val="00AA4191"/>
    <w:rsid w:val="00AA484A"/>
    <w:rsid w:val="00AA4C8F"/>
    <w:rsid w:val="00AA53F1"/>
    <w:rsid w:val="00AA668A"/>
    <w:rsid w:val="00AA717C"/>
    <w:rsid w:val="00AB007C"/>
    <w:rsid w:val="00AB0F5F"/>
    <w:rsid w:val="00AB1EC0"/>
    <w:rsid w:val="00AB47AD"/>
    <w:rsid w:val="00AB6185"/>
    <w:rsid w:val="00AC0390"/>
    <w:rsid w:val="00AC0D14"/>
    <w:rsid w:val="00AC142E"/>
    <w:rsid w:val="00AC1B70"/>
    <w:rsid w:val="00AC27A6"/>
    <w:rsid w:val="00AC35DA"/>
    <w:rsid w:val="00AC6ABD"/>
    <w:rsid w:val="00AC7EF8"/>
    <w:rsid w:val="00AD0227"/>
    <w:rsid w:val="00AD0495"/>
    <w:rsid w:val="00AD38FF"/>
    <w:rsid w:val="00AD539E"/>
    <w:rsid w:val="00AD6873"/>
    <w:rsid w:val="00AD6D72"/>
    <w:rsid w:val="00AD6E92"/>
    <w:rsid w:val="00AD70F5"/>
    <w:rsid w:val="00AD7211"/>
    <w:rsid w:val="00AE21A6"/>
    <w:rsid w:val="00AE2E24"/>
    <w:rsid w:val="00AE3F6F"/>
    <w:rsid w:val="00AE49AF"/>
    <w:rsid w:val="00AE4DE9"/>
    <w:rsid w:val="00AE5F35"/>
    <w:rsid w:val="00AE6C2C"/>
    <w:rsid w:val="00AE6F57"/>
    <w:rsid w:val="00AF04C0"/>
    <w:rsid w:val="00AF06FE"/>
    <w:rsid w:val="00AF2BD0"/>
    <w:rsid w:val="00AF2FA2"/>
    <w:rsid w:val="00AF3279"/>
    <w:rsid w:val="00AF3544"/>
    <w:rsid w:val="00AF36FD"/>
    <w:rsid w:val="00AF50DF"/>
    <w:rsid w:val="00AF5335"/>
    <w:rsid w:val="00AF5DBD"/>
    <w:rsid w:val="00AF602F"/>
    <w:rsid w:val="00AF67FA"/>
    <w:rsid w:val="00AF6DC5"/>
    <w:rsid w:val="00B022AA"/>
    <w:rsid w:val="00B025E1"/>
    <w:rsid w:val="00B030A3"/>
    <w:rsid w:val="00B03F5D"/>
    <w:rsid w:val="00B05E1D"/>
    <w:rsid w:val="00B06955"/>
    <w:rsid w:val="00B07C5F"/>
    <w:rsid w:val="00B12A75"/>
    <w:rsid w:val="00B14728"/>
    <w:rsid w:val="00B16042"/>
    <w:rsid w:val="00B16C56"/>
    <w:rsid w:val="00B1768D"/>
    <w:rsid w:val="00B21912"/>
    <w:rsid w:val="00B226F4"/>
    <w:rsid w:val="00B2431B"/>
    <w:rsid w:val="00B24369"/>
    <w:rsid w:val="00B24BDF"/>
    <w:rsid w:val="00B27B43"/>
    <w:rsid w:val="00B27E88"/>
    <w:rsid w:val="00B27ED5"/>
    <w:rsid w:val="00B308CC"/>
    <w:rsid w:val="00B3209B"/>
    <w:rsid w:val="00B32295"/>
    <w:rsid w:val="00B3322E"/>
    <w:rsid w:val="00B34468"/>
    <w:rsid w:val="00B3638E"/>
    <w:rsid w:val="00B36AFE"/>
    <w:rsid w:val="00B37397"/>
    <w:rsid w:val="00B40B22"/>
    <w:rsid w:val="00B40D97"/>
    <w:rsid w:val="00B41810"/>
    <w:rsid w:val="00B42BBD"/>
    <w:rsid w:val="00B47269"/>
    <w:rsid w:val="00B47B49"/>
    <w:rsid w:val="00B51468"/>
    <w:rsid w:val="00B5190A"/>
    <w:rsid w:val="00B52B0D"/>
    <w:rsid w:val="00B55128"/>
    <w:rsid w:val="00B55496"/>
    <w:rsid w:val="00B56100"/>
    <w:rsid w:val="00B56172"/>
    <w:rsid w:val="00B568A0"/>
    <w:rsid w:val="00B56902"/>
    <w:rsid w:val="00B57CD4"/>
    <w:rsid w:val="00B60598"/>
    <w:rsid w:val="00B61011"/>
    <w:rsid w:val="00B626E1"/>
    <w:rsid w:val="00B63D2C"/>
    <w:rsid w:val="00B63F02"/>
    <w:rsid w:val="00B63FB9"/>
    <w:rsid w:val="00B66DC0"/>
    <w:rsid w:val="00B67A09"/>
    <w:rsid w:val="00B70AFC"/>
    <w:rsid w:val="00B71CC4"/>
    <w:rsid w:val="00B7399C"/>
    <w:rsid w:val="00B80B9E"/>
    <w:rsid w:val="00B8103A"/>
    <w:rsid w:val="00B83111"/>
    <w:rsid w:val="00B87333"/>
    <w:rsid w:val="00B873F6"/>
    <w:rsid w:val="00B9383D"/>
    <w:rsid w:val="00B942DF"/>
    <w:rsid w:val="00B9696B"/>
    <w:rsid w:val="00B976DA"/>
    <w:rsid w:val="00BA0AD8"/>
    <w:rsid w:val="00BA1C72"/>
    <w:rsid w:val="00BA4656"/>
    <w:rsid w:val="00BA4E4A"/>
    <w:rsid w:val="00BA514D"/>
    <w:rsid w:val="00BA5588"/>
    <w:rsid w:val="00BA5F40"/>
    <w:rsid w:val="00BA66A1"/>
    <w:rsid w:val="00BA68FD"/>
    <w:rsid w:val="00BA6AF1"/>
    <w:rsid w:val="00BA6F15"/>
    <w:rsid w:val="00BB011A"/>
    <w:rsid w:val="00BB0908"/>
    <w:rsid w:val="00BB1D63"/>
    <w:rsid w:val="00BB59D4"/>
    <w:rsid w:val="00BB72B6"/>
    <w:rsid w:val="00BB7929"/>
    <w:rsid w:val="00BC2E7B"/>
    <w:rsid w:val="00BC40E1"/>
    <w:rsid w:val="00BC706A"/>
    <w:rsid w:val="00BC7986"/>
    <w:rsid w:val="00BD0A37"/>
    <w:rsid w:val="00BD2B08"/>
    <w:rsid w:val="00BD32F1"/>
    <w:rsid w:val="00BD3AEF"/>
    <w:rsid w:val="00BD427F"/>
    <w:rsid w:val="00BD44A9"/>
    <w:rsid w:val="00BD7650"/>
    <w:rsid w:val="00BD7745"/>
    <w:rsid w:val="00BD78A3"/>
    <w:rsid w:val="00BE064B"/>
    <w:rsid w:val="00BE202C"/>
    <w:rsid w:val="00BE2412"/>
    <w:rsid w:val="00BE24EC"/>
    <w:rsid w:val="00BE262E"/>
    <w:rsid w:val="00BE2C13"/>
    <w:rsid w:val="00BE386C"/>
    <w:rsid w:val="00BE66B2"/>
    <w:rsid w:val="00BE729F"/>
    <w:rsid w:val="00BF089B"/>
    <w:rsid w:val="00BF1CB4"/>
    <w:rsid w:val="00BF23E6"/>
    <w:rsid w:val="00BF241E"/>
    <w:rsid w:val="00BF28EB"/>
    <w:rsid w:val="00BF3704"/>
    <w:rsid w:val="00BF3E23"/>
    <w:rsid w:val="00BF4FFB"/>
    <w:rsid w:val="00BF692E"/>
    <w:rsid w:val="00C00119"/>
    <w:rsid w:val="00C001F3"/>
    <w:rsid w:val="00C01861"/>
    <w:rsid w:val="00C01B4E"/>
    <w:rsid w:val="00C02631"/>
    <w:rsid w:val="00C04481"/>
    <w:rsid w:val="00C04F64"/>
    <w:rsid w:val="00C05DC9"/>
    <w:rsid w:val="00C062CC"/>
    <w:rsid w:val="00C0652D"/>
    <w:rsid w:val="00C102A2"/>
    <w:rsid w:val="00C1046D"/>
    <w:rsid w:val="00C109DC"/>
    <w:rsid w:val="00C12B24"/>
    <w:rsid w:val="00C12DE7"/>
    <w:rsid w:val="00C13809"/>
    <w:rsid w:val="00C15CD3"/>
    <w:rsid w:val="00C15E40"/>
    <w:rsid w:val="00C204B3"/>
    <w:rsid w:val="00C211CE"/>
    <w:rsid w:val="00C21E5B"/>
    <w:rsid w:val="00C22240"/>
    <w:rsid w:val="00C22667"/>
    <w:rsid w:val="00C23CEC"/>
    <w:rsid w:val="00C26917"/>
    <w:rsid w:val="00C26E4E"/>
    <w:rsid w:val="00C274C0"/>
    <w:rsid w:val="00C275D1"/>
    <w:rsid w:val="00C31071"/>
    <w:rsid w:val="00C316EE"/>
    <w:rsid w:val="00C33217"/>
    <w:rsid w:val="00C33D02"/>
    <w:rsid w:val="00C33F2A"/>
    <w:rsid w:val="00C344F4"/>
    <w:rsid w:val="00C349A9"/>
    <w:rsid w:val="00C353F6"/>
    <w:rsid w:val="00C4078D"/>
    <w:rsid w:val="00C41746"/>
    <w:rsid w:val="00C42BAA"/>
    <w:rsid w:val="00C42D9D"/>
    <w:rsid w:val="00C432ED"/>
    <w:rsid w:val="00C4352F"/>
    <w:rsid w:val="00C437AB"/>
    <w:rsid w:val="00C44FAF"/>
    <w:rsid w:val="00C45020"/>
    <w:rsid w:val="00C454AE"/>
    <w:rsid w:val="00C455F0"/>
    <w:rsid w:val="00C45CA2"/>
    <w:rsid w:val="00C45D72"/>
    <w:rsid w:val="00C45EFD"/>
    <w:rsid w:val="00C465C7"/>
    <w:rsid w:val="00C473AB"/>
    <w:rsid w:val="00C528D7"/>
    <w:rsid w:val="00C53567"/>
    <w:rsid w:val="00C53B76"/>
    <w:rsid w:val="00C53E53"/>
    <w:rsid w:val="00C55457"/>
    <w:rsid w:val="00C60C8D"/>
    <w:rsid w:val="00C616C4"/>
    <w:rsid w:val="00C61FED"/>
    <w:rsid w:val="00C62275"/>
    <w:rsid w:val="00C63944"/>
    <w:rsid w:val="00C63B62"/>
    <w:rsid w:val="00C6497D"/>
    <w:rsid w:val="00C65D84"/>
    <w:rsid w:val="00C66EC5"/>
    <w:rsid w:val="00C70C0F"/>
    <w:rsid w:val="00C7575C"/>
    <w:rsid w:val="00C761C8"/>
    <w:rsid w:val="00C761FF"/>
    <w:rsid w:val="00C8070F"/>
    <w:rsid w:val="00C81DB4"/>
    <w:rsid w:val="00C82386"/>
    <w:rsid w:val="00C8430F"/>
    <w:rsid w:val="00C84D50"/>
    <w:rsid w:val="00C84F96"/>
    <w:rsid w:val="00C85109"/>
    <w:rsid w:val="00C86E12"/>
    <w:rsid w:val="00C93CF8"/>
    <w:rsid w:val="00C94A69"/>
    <w:rsid w:val="00C94B14"/>
    <w:rsid w:val="00C94E53"/>
    <w:rsid w:val="00C95193"/>
    <w:rsid w:val="00C9524C"/>
    <w:rsid w:val="00C95B0D"/>
    <w:rsid w:val="00C97BD2"/>
    <w:rsid w:val="00CA03E0"/>
    <w:rsid w:val="00CA1F68"/>
    <w:rsid w:val="00CA32DE"/>
    <w:rsid w:val="00CA499E"/>
    <w:rsid w:val="00CA4CAC"/>
    <w:rsid w:val="00CA5A97"/>
    <w:rsid w:val="00CA7188"/>
    <w:rsid w:val="00CB20A7"/>
    <w:rsid w:val="00CB2F55"/>
    <w:rsid w:val="00CB52EE"/>
    <w:rsid w:val="00CB6A87"/>
    <w:rsid w:val="00CB7BD4"/>
    <w:rsid w:val="00CB7D0F"/>
    <w:rsid w:val="00CC0606"/>
    <w:rsid w:val="00CC0B8E"/>
    <w:rsid w:val="00CC1234"/>
    <w:rsid w:val="00CC3D34"/>
    <w:rsid w:val="00CC77CE"/>
    <w:rsid w:val="00CC793A"/>
    <w:rsid w:val="00CD1B6F"/>
    <w:rsid w:val="00CD1FDA"/>
    <w:rsid w:val="00CD2D9A"/>
    <w:rsid w:val="00CD3A7D"/>
    <w:rsid w:val="00CD47F7"/>
    <w:rsid w:val="00CD585B"/>
    <w:rsid w:val="00CD58BB"/>
    <w:rsid w:val="00CD62B2"/>
    <w:rsid w:val="00CD7EEF"/>
    <w:rsid w:val="00CE0460"/>
    <w:rsid w:val="00CE16DC"/>
    <w:rsid w:val="00CE4903"/>
    <w:rsid w:val="00CE5586"/>
    <w:rsid w:val="00CE58E5"/>
    <w:rsid w:val="00CE5BAA"/>
    <w:rsid w:val="00CE7C27"/>
    <w:rsid w:val="00CF004B"/>
    <w:rsid w:val="00CF0486"/>
    <w:rsid w:val="00CF1DA2"/>
    <w:rsid w:val="00CF24CE"/>
    <w:rsid w:val="00CF53D3"/>
    <w:rsid w:val="00CF549E"/>
    <w:rsid w:val="00CF5AA7"/>
    <w:rsid w:val="00CF5E3A"/>
    <w:rsid w:val="00CF78EF"/>
    <w:rsid w:val="00CF7A3D"/>
    <w:rsid w:val="00D0087E"/>
    <w:rsid w:val="00D032C8"/>
    <w:rsid w:val="00D05392"/>
    <w:rsid w:val="00D06174"/>
    <w:rsid w:val="00D07A76"/>
    <w:rsid w:val="00D10A4D"/>
    <w:rsid w:val="00D1218B"/>
    <w:rsid w:val="00D13050"/>
    <w:rsid w:val="00D1374E"/>
    <w:rsid w:val="00D13A77"/>
    <w:rsid w:val="00D15DBD"/>
    <w:rsid w:val="00D16001"/>
    <w:rsid w:val="00D16A96"/>
    <w:rsid w:val="00D17B29"/>
    <w:rsid w:val="00D20F42"/>
    <w:rsid w:val="00D212D9"/>
    <w:rsid w:val="00D22CA1"/>
    <w:rsid w:val="00D235CC"/>
    <w:rsid w:val="00D235E7"/>
    <w:rsid w:val="00D2617C"/>
    <w:rsid w:val="00D26A13"/>
    <w:rsid w:val="00D271AB"/>
    <w:rsid w:val="00D3231F"/>
    <w:rsid w:val="00D330E8"/>
    <w:rsid w:val="00D339A5"/>
    <w:rsid w:val="00D34345"/>
    <w:rsid w:val="00D35198"/>
    <w:rsid w:val="00D37727"/>
    <w:rsid w:val="00D40BB2"/>
    <w:rsid w:val="00D415F7"/>
    <w:rsid w:val="00D41A63"/>
    <w:rsid w:val="00D41C58"/>
    <w:rsid w:val="00D41E75"/>
    <w:rsid w:val="00D41F7A"/>
    <w:rsid w:val="00D42090"/>
    <w:rsid w:val="00D4334D"/>
    <w:rsid w:val="00D439DA"/>
    <w:rsid w:val="00D458F0"/>
    <w:rsid w:val="00D458FC"/>
    <w:rsid w:val="00D46307"/>
    <w:rsid w:val="00D468D9"/>
    <w:rsid w:val="00D5068D"/>
    <w:rsid w:val="00D50C71"/>
    <w:rsid w:val="00D5155D"/>
    <w:rsid w:val="00D5169D"/>
    <w:rsid w:val="00D521D0"/>
    <w:rsid w:val="00D536A7"/>
    <w:rsid w:val="00D54058"/>
    <w:rsid w:val="00D54A46"/>
    <w:rsid w:val="00D55972"/>
    <w:rsid w:val="00D572A4"/>
    <w:rsid w:val="00D57414"/>
    <w:rsid w:val="00D60809"/>
    <w:rsid w:val="00D6165E"/>
    <w:rsid w:val="00D62D4F"/>
    <w:rsid w:val="00D652C8"/>
    <w:rsid w:val="00D673AE"/>
    <w:rsid w:val="00D6767D"/>
    <w:rsid w:val="00D70A71"/>
    <w:rsid w:val="00D70ADC"/>
    <w:rsid w:val="00D73C7C"/>
    <w:rsid w:val="00D77404"/>
    <w:rsid w:val="00D80C33"/>
    <w:rsid w:val="00D850BB"/>
    <w:rsid w:val="00D86610"/>
    <w:rsid w:val="00D9179F"/>
    <w:rsid w:val="00D91D7E"/>
    <w:rsid w:val="00D9253F"/>
    <w:rsid w:val="00D9328E"/>
    <w:rsid w:val="00D94071"/>
    <w:rsid w:val="00DA0C2B"/>
    <w:rsid w:val="00DA46F5"/>
    <w:rsid w:val="00DA5272"/>
    <w:rsid w:val="00DA6A75"/>
    <w:rsid w:val="00DB21B1"/>
    <w:rsid w:val="00DB2856"/>
    <w:rsid w:val="00DB28C3"/>
    <w:rsid w:val="00DB33B6"/>
    <w:rsid w:val="00DB36C5"/>
    <w:rsid w:val="00DB3A17"/>
    <w:rsid w:val="00DB3B2F"/>
    <w:rsid w:val="00DB40C5"/>
    <w:rsid w:val="00DB6C75"/>
    <w:rsid w:val="00DB6C78"/>
    <w:rsid w:val="00DB7A4F"/>
    <w:rsid w:val="00DB7FEF"/>
    <w:rsid w:val="00DC3B8F"/>
    <w:rsid w:val="00DC478C"/>
    <w:rsid w:val="00DC4F26"/>
    <w:rsid w:val="00DC6F38"/>
    <w:rsid w:val="00DC73D0"/>
    <w:rsid w:val="00DD13D0"/>
    <w:rsid w:val="00DD4EB0"/>
    <w:rsid w:val="00DD55FA"/>
    <w:rsid w:val="00DD6CF6"/>
    <w:rsid w:val="00DE02F1"/>
    <w:rsid w:val="00DE090B"/>
    <w:rsid w:val="00DE0DCC"/>
    <w:rsid w:val="00DE3ED9"/>
    <w:rsid w:val="00DE3EE1"/>
    <w:rsid w:val="00DE4179"/>
    <w:rsid w:val="00DE4D3E"/>
    <w:rsid w:val="00DE67BA"/>
    <w:rsid w:val="00DE7B3F"/>
    <w:rsid w:val="00DF1A0D"/>
    <w:rsid w:val="00DF2EF7"/>
    <w:rsid w:val="00DF336E"/>
    <w:rsid w:val="00DF3D16"/>
    <w:rsid w:val="00DF4105"/>
    <w:rsid w:val="00DF4318"/>
    <w:rsid w:val="00DF51A8"/>
    <w:rsid w:val="00E0083C"/>
    <w:rsid w:val="00E01D17"/>
    <w:rsid w:val="00E03348"/>
    <w:rsid w:val="00E05E92"/>
    <w:rsid w:val="00E05F53"/>
    <w:rsid w:val="00E061FB"/>
    <w:rsid w:val="00E104CE"/>
    <w:rsid w:val="00E10C18"/>
    <w:rsid w:val="00E11AC7"/>
    <w:rsid w:val="00E1325C"/>
    <w:rsid w:val="00E1351B"/>
    <w:rsid w:val="00E1385A"/>
    <w:rsid w:val="00E15556"/>
    <w:rsid w:val="00E15617"/>
    <w:rsid w:val="00E15D54"/>
    <w:rsid w:val="00E16AD9"/>
    <w:rsid w:val="00E1726D"/>
    <w:rsid w:val="00E178D6"/>
    <w:rsid w:val="00E21A29"/>
    <w:rsid w:val="00E22602"/>
    <w:rsid w:val="00E23D79"/>
    <w:rsid w:val="00E23E71"/>
    <w:rsid w:val="00E24309"/>
    <w:rsid w:val="00E25B64"/>
    <w:rsid w:val="00E263B1"/>
    <w:rsid w:val="00E27F69"/>
    <w:rsid w:val="00E3116C"/>
    <w:rsid w:val="00E316CE"/>
    <w:rsid w:val="00E3315F"/>
    <w:rsid w:val="00E346FC"/>
    <w:rsid w:val="00E34808"/>
    <w:rsid w:val="00E35BB2"/>
    <w:rsid w:val="00E35DC3"/>
    <w:rsid w:val="00E37316"/>
    <w:rsid w:val="00E410F2"/>
    <w:rsid w:val="00E41BF1"/>
    <w:rsid w:val="00E42FCF"/>
    <w:rsid w:val="00E449C9"/>
    <w:rsid w:val="00E4521D"/>
    <w:rsid w:val="00E4575D"/>
    <w:rsid w:val="00E46086"/>
    <w:rsid w:val="00E47EB9"/>
    <w:rsid w:val="00E5097E"/>
    <w:rsid w:val="00E50F6F"/>
    <w:rsid w:val="00E5275B"/>
    <w:rsid w:val="00E527CC"/>
    <w:rsid w:val="00E53533"/>
    <w:rsid w:val="00E548B3"/>
    <w:rsid w:val="00E550F4"/>
    <w:rsid w:val="00E5557F"/>
    <w:rsid w:val="00E557C1"/>
    <w:rsid w:val="00E600E2"/>
    <w:rsid w:val="00E618ED"/>
    <w:rsid w:val="00E61BBD"/>
    <w:rsid w:val="00E64173"/>
    <w:rsid w:val="00E659B9"/>
    <w:rsid w:val="00E66900"/>
    <w:rsid w:val="00E66E3E"/>
    <w:rsid w:val="00E67598"/>
    <w:rsid w:val="00E676B3"/>
    <w:rsid w:val="00E67893"/>
    <w:rsid w:val="00E74E0C"/>
    <w:rsid w:val="00E7583F"/>
    <w:rsid w:val="00E77219"/>
    <w:rsid w:val="00E776F6"/>
    <w:rsid w:val="00E808F6"/>
    <w:rsid w:val="00E8246E"/>
    <w:rsid w:val="00E82957"/>
    <w:rsid w:val="00E8520D"/>
    <w:rsid w:val="00E86125"/>
    <w:rsid w:val="00E878D4"/>
    <w:rsid w:val="00E903DE"/>
    <w:rsid w:val="00E90B77"/>
    <w:rsid w:val="00E92248"/>
    <w:rsid w:val="00E92BE1"/>
    <w:rsid w:val="00E92D56"/>
    <w:rsid w:val="00E932C3"/>
    <w:rsid w:val="00E937B5"/>
    <w:rsid w:val="00E94AF6"/>
    <w:rsid w:val="00E95FCD"/>
    <w:rsid w:val="00EA08D2"/>
    <w:rsid w:val="00EA1742"/>
    <w:rsid w:val="00EA430B"/>
    <w:rsid w:val="00EA460A"/>
    <w:rsid w:val="00EA48C9"/>
    <w:rsid w:val="00EA4FE6"/>
    <w:rsid w:val="00EA5833"/>
    <w:rsid w:val="00EA6AD1"/>
    <w:rsid w:val="00EB2CE7"/>
    <w:rsid w:val="00EB3039"/>
    <w:rsid w:val="00EB3E3E"/>
    <w:rsid w:val="00EB43F5"/>
    <w:rsid w:val="00EB5608"/>
    <w:rsid w:val="00EB6AAA"/>
    <w:rsid w:val="00EB7712"/>
    <w:rsid w:val="00EC0B14"/>
    <w:rsid w:val="00EC14CB"/>
    <w:rsid w:val="00EC2884"/>
    <w:rsid w:val="00EC3318"/>
    <w:rsid w:val="00EC3D8F"/>
    <w:rsid w:val="00EC4798"/>
    <w:rsid w:val="00EC5DD7"/>
    <w:rsid w:val="00EC6448"/>
    <w:rsid w:val="00EC670B"/>
    <w:rsid w:val="00ED15A9"/>
    <w:rsid w:val="00ED19C8"/>
    <w:rsid w:val="00ED364A"/>
    <w:rsid w:val="00ED3CA4"/>
    <w:rsid w:val="00ED62C6"/>
    <w:rsid w:val="00ED663B"/>
    <w:rsid w:val="00ED6A09"/>
    <w:rsid w:val="00ED6D63"/>
    <w:rsid w:val="00EE342A"/>
    <w:rsid w:val="00EE5317"/>
    <w:rsid w:val="00EE5ED2"/>
    <w:rsid w:val="00EE758D"/>
    <w:rsid w:val="00EE7796"/>
    <w:rsid w:val="00EF062F"/>
    <w:rsid w:val="00EF1545"/>
    <w:rsid w:val="00EF1EDF"/>
    <w:rsid w:val="00EF2CF0"/>
    <w:rsid w:val="00EF3DB8"/>
    <w:rsid w:val="00EF4CFC"/>
    <w:rsid w:val="00EF5B02"/>
    <w:rsid w:val="00EF6C8F"/>
    <w:rsid w:val="00EF75CB"/>
    <w:rsid w:val="00F00398"/>
    <w:rsid w:val="00F01CB1"/>
    <w:rsid w:val="00F01E84"/>
    <w:rsid w:val="00F04626"/>
    <w:rsid w:val="00F06324"/>
    <w:rsid w:val="00F067A3"/>
    <w:rsid w:val="00F073CD"/>
    <w:rsid w:val="00F079B7"/>
    <w:rsid w:val="00F07DC3"/>
    <w:rsid w:val="00F1050B"/>
    <w:rsid w:val="00F120F9"/>
    <w:rsid w:val="00F129C3"/>
    <w:rsid w:val="00F137D0"/>
    <w:rsid w:val="00F144F8"/>
    <w:rsid w:val="00F145C8"/>
    <w:rsid w:val="00F151C6"/>
    <w:rsid w:val="00F15583"/>
    <w:rsid w:val="00F16CFC"/>
    <w:rsid w:val="00F173D6"/>
    <w:rsid w:val="00F20168"/>
    <w:rsid w:val="00F22D43"/>
    <w:rsid w:val="00F23D42"/>
    <w:rsid w:val="00F24E21"/>
    <w:rsid w:val="00F250BE"/>
    <w:rsid w:val="00F25584"/>
    <w:rsid w:val="00F25BAB"/>
    <w:rsid w:val="00F268F6"/>
    <w:rsid w:val="00F27839"/>
    <w:rsid w:val="00F27BC1"/>
    <w:rsid w:val="00F32197"/>
    <w:rsid w:val="00F339B9"/>
    <w:rsid w:val="00F3470D"/>
    <w:rsid w:val="00F3525A"/>
    <w:rsid w:val="00F36888"/>
    <w:rsid w:val="00F36A63"/>
    <w:rsid w:val="00F375F1"/>
    <w:rsid w:val="00F37CEE"/>
    <w:rsid w:val="00F403F8"/>
    <w:rsid w:val="00F40F7D"/>
    <w:rsid w:val="00F421CE"/>
    <w:rsid w:val="00F42461"/>
    <w:rsid w:val="00F42C80"/>
    <w:rsid w:val="00F4552E"/>
    <w:rsid w:val="00F45F13"/>
    <w:rsid w:val="00F45F60"/>
    <w:rsid w:val="00F47904"/>
    <w:rsid w:val="00F52E55"/>
    <w:rsid w:val="00F532A5"/>
    <w:rsid w:val="00F5483C"/>
    <w:rsid w:val="00F55C39"/>
    <w:rsid w:val="00F562F0"/>
    <w:rsid w:val="00F56568"/>
    <w:rsid w:val="00F565AA"/>
    <w:rsid w:val="00F566A5"/>
    <w:rsid w:val="00F56A50"/>
    <w:rsid w:val="00F607D7"/>
    <w:rsid w:val="00F608A5"/>
    <w:rsid w:val="00F6097B"/>
    <w:rsid w:val="00F60E75"/>
    <w:rsid w:val="00F620B5"/>
    <w:rsid w:val="00F62535"/>
    <w:rsid w:val="00F63BAE"/>
    <w:rsid w:val="00F65340"/>
    <w:rsid w:val="00F65CDB"/>
    <w:rsid w:val="00F65D26"/>
    <w:rsid w:val="00F661E3"/>
    <w:rsid w:val="00F7126C"/>
    <w:rsid w:val="00F71DD4"/>
    <w:rsid w:val="00F7429C"/>
    <w:rsid w:val="00F7474B"/>
    <w:rsid w:val="00F76CB1"/>
    <w:rsid w:val="00F8336E"/>
    <w:rsid w:val="00F8410E"/>
    <w:rsid w:val="00F857DF"/>
    <w:rsid w:val="00F86F63"/>
    <w:rsid w:val="00F90952"/>
    <w:rsid w:val="00F90CF6"/>
    <w:rsid w:val="00F917D1"/>
    <w:rsid w:val="00F92377"/>
    <w:rsid w:val="00F96A15"/>
    <w:rsid w:val="00F96A62"/>
    <w:rsid w:val="00FA0213"/>
    <w:rsid w:val="00FA25AB"/>
    <w:rsid w:val="00FA4BA5"/>
    <w:rsid w:val="00FA4C31"/>
    <w:rsid w:val="00FA5A7A"/>
    <w:rsid w:val="00FA6152"/>
    <w:rsid w:val="00FA6259"/>
    <w:rsid w:val="00FA69C1"/>
    <w:rsid w:val="00FA6FE4"/>
    <w:rsid w:val="00FA7222"/>
    <w:rsid w:val="00FA7E78"/>
    <w:rsid w:val="00FB009D"/>
    <w:rsid w:val="00FB21BD"/>
    <w:rsid w:val="00FB2539"/>
    <w:rsid w:val="00FB2962"/>
    <w:rsid w:val="00FB2B3C"/>
    <w:rsid w:val="00FB2D2B"/>
    <w:rsid w:val="00FB4CB9"/>
    <w:rsid w:val="00FB52CA"/>
    <w:rsid w:val="00FB5637"/>
    <w:rsid w:val="00FB5D34"/>
    <w:rsid w:val="00FC10AE"/>
    <w:rsid w:val="00FC26F8"/>
    <w:rsid w:val="00FC2E93"/>
    <w:rsid w:val="00FC3B8F"/>
    <w:rsid w:val="00FC4E27"/>
    <w:rsid w:val="00FC5598"/>
    <w:rsid w:val="00FC56BA"/>
    <w:rsid w:val="00FC663D"/>
    <w:rsid w:val="00FC6DCE"/>
    <w:rsid w:val="00FC6FDF"/>
    <w:rsid w:val="00FD0EC7"/>
    <w:rsid w:val="00FD1542"/>
    <w:rsid w:val="00FD2918"/>
    <w:rsid w:val="00FD2B06"/>
    <w:rsid w:val="00FD6052"/>
    <w:rsid w:val="00FD64F2"/>
    <w:rsid w:val="00FD6FE5"/>
    <w:rsid w:val="00FD737F"/>
    <w:rsid w:val="00FD7D9A"/>
    <w:rsid w:val="00FE1D2A"/>
    <w:rsid w:val="00FE41DD"/>
    <w:rsid w:val="00FE4BC9"/>
    <w:rsid w:val="00FE4E2D"/>
    <w:rsid w:val="00FF0603"/>
    <w:rsid w:val="00FF0611"/>
    <w:rsid w:val="00FF12FF"/>
    <w:rsid w:val="00FF38F6"/>
    <w:rsid w:val="00FF639C"/>
    <w:rsid w:val="00FF648C"/>
    <w:rsid w:val="00FF769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C9F83"/>
  <w15:docId w15:val="{25046C91-3C20-444D-8B34-0E14E76DB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144"/>
  </w:style>
  <w:style w:type="paragraph" w:styleId="Heading1">
    <w:name w:val="heading 1"/>
    <w:basedOn w:val="Normal"/>
    <w:next w:val="Normal"/>
    <w:link w:val="Heading1Char"/>
    <w:uiPriority w:val="9"/>
    <w:qFormat/>
    <w:rsid w:val="003B6307"/>
    <w:pPr>
      <w:keepNext/>
      <w:keepLines/>
      <w:spacing w:before="240" w:after="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3B6307"/>
    <w:pPr>
      <w:keepNext/>
      <w:keepLines/>
      <w:spacing w:before="40" w:after="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3B6307"/>
    <w:pPr>
      <w:keepNext/>
      <w:keepLines/>
      <w:spacing w:before="40" w:after="0"/>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unhideWhenUsed/>
    <w:qFormat/>
    <w:rsid w:val="003B6307"/>
    <w:pPr>
      <w:keepNext/>
      <w:keepLines/>
      <w:spacing w:before="40" w:after="0"/>
      <w:outlineLvl w:val="3"/>
    </w:pPr>
    <w:rPr>
      <w:rFonts w:ascii="Times New Roman" w:eastAsiaTheme="majorEastAsia" w:hAnsi="Times New Roman" w:cstheme="majorBidi"/>
      <w:b/>
      <w:i/>
      <w:iCs/>
      <w:sz w:val="24"/>
    </w:rPr>
  </w:style>
  <w:style w:type="paragraph" w:styleId="Heading5">
    <w:name w:val="heading 5"/>
    <w:basedOn w:val="Normal"/>
    <w:next w:val="Normal"/>
    <w:link w:val="Heading5Char"/>
    <w:uiPriority w:val="9"/>
    <w:unhideWhenUsed/>
    <w:qFormat/>
    <w:rsid w:val="003B6307"/>
    <w:pPr>
      <w:keepNext/>
      <w:keepLines/>
      <w:spacing w:before="40" w:after="0"/>
      <w:outlineLvl w:val="4"/>
    </w:pPr>
    <w:rPr>
      <w:rFonts w:ascii="Times New Roman" w:eastAsiaTheme="majorEastAsia" w:hAnsi="Times New Roman"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37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719"/>
    <w:rPr>
      <w:rFonts w:ascii="Segoe UI" w:hAnsi="Segoe UI" w:cs="Segoe UI"/>
      <w:sz w:val="18"/>
      <w:szCs w:val="18"/>
    </w:rPr>
  </w:style>
  <w:style w:type="paragraph" w:customStyle="1" w:styleId="3-normalyaz">
    <w:name w:val="3-normalyaz"/>
    <w:basedOn w:val="Normal"/>
    <w:rsid w:val="00CE7C2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CE7C2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CommentReference">
    <w:name w:val="annotation reference"/>
    <w:basedOn w:val="DefaultParagraphFont"/>
    <w:uiPriority w:val="99"/>
    <w:unhideWhenUsed/>
    <w:rsid w:val="00655A29"/>
    <w:rPr>
      <w:sz w:val="16"/>
      <w:szCs w:val="16"/>
    </w:rPr>
  </w:style>
  <w:style w:type="paragraph" w:styleId="CommentText">
    <w:name w:val="annotation text"/>
    <w:basedOn w:val="Normal"/>
    <w:link w:val="CommentTextChar"/>
    <w:uiPriority w:val="99"/>
    <w:unhideWhenUsed/>
    <w:rsid w:val="00655A29"/>
    <w:pPr>
      <w:spacing w:line="240" w:lineRule="auto"/>
    </w:pPr>
    <w:rPr>
      <w:sz w:val="20"/>
      <w:szCs w:val="20"/>
    </w:rPr>
  </w:style>
  <w:style w:type="character" w:customStyle="1" w:styleId="CommentTextChar">
    <w:name w:val="Comment Text Char"/>
    <w:basedOn w:val="DefaultParagraphFont"/>
    <w:link w:val="CommentText"/>
    <w:uiPriority w:val="99"/>
    <w:rsid w:val="00655A29"/>
    <w:rPr>
      <w:sz w:val="20"/>
      <w:szCs w:val="20"/>
    </w:rPr>
  </w:style>
  <w:style w:type="paragraph" w:styleId="CommentSubject">
    <w:name w:val="annotation subject"/>
    <w:basedOn w:val="CommentText"/>
    <w:next w:val="CommentText"/>
    <w:link w:val="CommentSubjectChar"/>
    <w:uiPriority w:val="99"/>
    <w:semiHidden/>
    <w:unhideWhenUsed/>
    <w:rsid w:val="00655A29"/>
    <w:rPr>
      <w:b/>
      <w:bCs/>
    </w:rPr>
  </w:style>
  <w:style w:type="character" w:customStyle="1" w:styleId="CommentSubjectChar">
    <w:name w:val="Comment Subject Char"/>
    <w:basedOn w:val="CommentTextChar"/>
    <w:link w:val="CommentSubject"/>
    <w:uiPriority w:val="99"/>
    <w:semiHidden/>
    <w:rsid w:val="00655A29"/>
    <w:rPr>
      <w:b/>
      <w:bCs/>
      <w:sz w:val="20"/>
      <w:szCs w:val="20"/>
    </w:rPr>
  </w:style>
  <w:style w:type="paragraph" w:styleId="ListParagraph">
    <w:name w:val="List Paragraph"/>
    <w:basedOn w:val="Normal"/>
    <w:uiPriority w:val="34"/>
    <w:qFormat/>
    <w:rsid w:val="004F53BE"/>
    <w:pPr>
      <w:ind w:left="720"/>
      <w:contextualSpacing/>
    </w:pPr>
  </w:style>
  <w:style w:type="paragraph" w:styleId="Revision">
    <w:name w:val="Revision"/>
    <w:hidden/>
    <w:uiPriority w:val="99"/>
    <w:semiHidden/>
    <w:rsid w:val="0002770E"/>
    <w:pPr>
      <w:spacing w:after="0" w:line="240" w:lineRule="auto"/>
    </w:pPr>
  </w:style>
  <w:style w:type="character" w:customStyle="1" w:styleId="apple-converted-space">
    <w:name w:val="apple-converted-space"/>
    <w:basedOn w:val="DefaultParagraphFont"/>
    <w:rsid w:val="00771640"/>
  </w:style>
  <w:style w:type="character" w:styleId="Strong">
    <w:name w:val="Strong"/>
    <w:uiPriority w:val="22"/>
    <w:qFormat/>
    <w:rsid w:val="00801384"/>
    <w:rPr>
      <w:b/>
      <w:bCs/>
    </w:rPr>
  </w:style>
  <w:style w:type="character" w:styleId="Hyperlink">
    <w:name w:val="Hyperlink"/>
    <w:basedOn w:val="DefaultParagraphFont"/>
    <w:uiPriority w:val="99"/>
    <w:unhideWhenUsed/>
    <w:rsid w:val="0047660D"/>
    <w:rPr>
      <w:color w:val="0000FF"/>
      <w:u w:val="single"/>
    </w:rPr>
  </w:style>
  <w:style w:type="paragraph" w:styleId="BodyText">
    <w:name w:val="Body Text"/>
    <w:basedOn w:val="Normal"/>
    <w:link w:val="BodyTextChar"/>
    <w:rsid w:val="0047660D"/>
    <w:pPr>
      <w:spacing w:after="0" w:line="360" w:lineRule="atLeast"/>
      <w:jc w:val="both"/>
    </w:pPr>
    <w:rPr>
      <w:rFonts w:ascii="Arial" w:eastAsia="Times New Roman" w:hAnsi="Arial" w:cs="Times New Roman"/>
      <w:sz w:val="24"/>
      <w:szCs w:val="20"/>
      <w:lang w:val="en-US"/>
    </w:rPr>
  </w:style>
  <w:style w:type="character" w:customStyle="1" w:styleId="BodyTextChar">
    <w:name w:val="Body Text Char"/>
    <w:basedOn w:val="DefaultParagraphFont"/>
    <w:link w:val="BodyText"/>
    <w:rsid w:val="0047660D"/>
    <w:rPr>
      <w:rFonts w:ascii="Arial" w:eastAsia="Times New Roman" w:hAnsi="Arial" w:cs="Times New Roman"/>
      <w:sz w:val="24"/>
      <w:szCs w:val="20"/>
      <w:lang w:val="en-US"/>
    </w:rPr>
  </w:style>
  <w:style w:type="paragraph" w:styleId="Header">
    <w:name w:val="header"/>
    <w:basedOn w:val="Normal"/>
    <w:link w:val="HeaderChar"/>
    <w:uiPriority w:val="99"/>
    <w:unhideWhenUsed/>
    <w:rsid w:val="00A571A0"/>
    <w:pPr>
      <w:tabs>
        <w:tab w:val="center" w:pos="4536"/>
        <w:tab w:val="right" w:pos="9072"/>
      </w:tabs>
      <w:spacing w:after="0" w:line="240" w:lineRule="auto"/>
    </w:pPr>
  </w:style>
  <w:style w:type="character" w:customStyle="1" w:styleId="HeaderChar">
    <w:name w:val="Header Char"/>
    <w:basedOn w:val="DefaultParagraphFont"/>
    <w:link w:val="Header"/>
    <w:uiPriority w:val="99"/>
    <w:rsid w:val="00A571A0"/>
  </w:style>
  <w:style w:type="paragraph" w:styleId="Footer">
    <w:name w:val="footer"/>
    <w:basedOn w:val="Normal"/>
    <w:link w:val="FooterChar"/>
    <w:uiPriority w:val="99"/>
    <w:unhideWhenUsed/>
    <w:rsid w:val="00A571A0"/>
    <w:pPr>
      <w:tabs>
        <w:tab w:val="center" w:pos="4536"/>
        <w:tab w:val="right" w:pos="9072"/>
      </w:tabs>
      <w:spacing w:after="0" w:line="240" w:lineRule="auto"/>
    </w:pPr>
  </w:style>
  <w:style w:type="character" w:customStyle="1" w:styleId="FooterChar">
    <w:name w:val="Footer Char"/>
    <w:basedOn w:val="DefaultParagraphFont"/>
    <w:link w:val="Footer"/>
    <w:uiPriority w:val="99"/>
    <w:rsid w:val="00A571A0"/>
  </w:style>
  <w:style w:type="table" w:styleId="TableGrid">
    <w:name w:val="Table Grid"/>
    <w:basedOn w:val="TableNormal"/>
    <w:uiPriority w:val="39"/>
    <w:rsid w:val="00C95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0097"/>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FootnoteText">
    <w:name w:val="footnote text"/>
    <w:aliases w:val="fn,single space,FOOTNOTES,footnote text"/>
    <w:basedOn w:val="Normal"/>
    <w:link w:val="FootnoteTextChar"/>
    <w:uiPriority w:val="99"/>
    <w:unhideWhenUsed/>
    <w:rsid w:val="00AC6ABD"/>
    <w:pPr>
      <w:spacing w:after="0" w:line="240" w:lineRule="auto"/>
    </w:pPr>
    <w:rPr>
      <w:sz w:val="20"/>
      <w:szCs w:val="20"/>
      <w:lang w:val="en-US"/>
    </w:rPr>
  </w:style>
  <w:style w:type="character" w:customStyle="1" w:styleId="FootnoteTextChar">
    <w:name w:val="Footnote Text Char"/>
    <w:aliases w:val="fn Char,single space Char,FOOTNOTES Char,footnote text Char"/>
    <w:basedOn w:val="DefaultParagraphFont"/>
    <w:link w:val="FootnoteText"/>
    <w:uiPriority w:val="99"/>
    <w:rsid w:val="00AC6ABD"/>
    <w:rPr>
      <w:sz w:val="20"/>
      <w:szCs w:val="20"/>
      <w:lang w:val="en-US"/>
    </w:rPr>
  </w:style>
  <w:style w:type="character" w:styleId="FootnoteReference">
    <w:name w:val="footnote reference"/>
    <w:basedOn w:val="DefaultParagraphFont"/>
    <w:uiPriority w:val="99"/>
    <w:unhideWhenUsed/>
    <w:rsid w:val="00AC6ABD"/>
    <w:rPr>
      <w:vertAlign w:val="superscript"/>
    </w:rPr>
  </w:style>
  <w:style w:type="paragraph" w:styleId="PlainText">
    <w:name w:val="Plain Text"/>
    <w:basedOn w:val="Normal"/>
    <w:link w:val="PlainTextChar"/>
    <w:uiPriority w:val="99"/>
    <w:semiHidden/>
    <w:unhideWhenUsed/>
    <w:rsid w:val="00AC6AB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C6ABD"/>
    <w:rPr>
      <w:rFonts w:ascii="Calibri" w:hAnsi="Calibri"/>
      <w:szCs w:val="21"/>
    </w:rPr>
  </w:style>
  <w:style w:type="character" w:customStyle="1" w:styleId="Heading1Char">
    <w:name w:val="Heading 1 Char"/>
    <w:basedOn w:val="DefaultParagraphFont"/>
    <w:link w:val="Heading1"/>
    <w:uiPriority w:val="9"/>
    <w:rsid w:val="003B6307"/>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773E56"/>
    <w:pPr>
      <w:outlineLvl w:val="9"/>
    </w:pPr>
    <w:rPr>
      <w:lang w:val="en-US"/>
    </w:rPr>
  </w:style>
  <w:style w:type="paragraph" w:styleId="TOC1">
    <w:name w:val="toc 1"/>
    <w:basedOn w:val="Normal"/>
    <w:next w:val="Normal"/>
    <w:autoRedefine/>
    <w:uiPriority w:val="39"/>
    <w:unhideWhenUsed/>
    <w:rsid w:val="00757B0E"/>
    <w:pPr>
      <w:tabs>
        <w:tab w:val="right" w:leader="dot" w:pos="9062"/>
      </w:tabs>
      <w:spacing w:after="100"/>
    </w:pPr>
  </w:style>
  <w:style w:type="character" w:customStyle="1" w:styleId="Heading2Char">
    <w:name w:val="Heading 2 Char"/>
    <w:basedOn w:val="DefaultParagraphFont"/>
    <w:link w:val="Heading2"/>
    <w:uiPriority w:val="9"/>
    <w:rsid w:val="003B6307"/>
    <w:rPr>
      <w:rFonts w:ascii="Times New Roman" w:eastAsiaTheme="majorEastAsia" w:hAnsi="Times New Roman" w:cstheme="majorBidi"/>
      <w:b/>
      <w:sz w:val="24"/>
      <w:szCs w:val="26"/>
    </w:rPr>
  </w:style>
  <w:style w:type="paragraph" w:styleId="TOC2">
    <w:name w:val="toc 2"/>
    <w:basedOn w:val="Normal"/>
    <w:next w:val="Normal"/>
    <w:autoRedefine/>
    <w:uiPriority w:val="39"/>
    <w:unhideWhenUsed/>
    <w:rsid w:val="00077E82"/>
    <w:pPr>
      <w:tabs>
        <w:tab w:val="right" w:leader="dot" w:pos="9062"/>
      </w:tabs>
      <w:spacing w:after="100"/>
      <w:ind w:left="220" w:firstLine="206"/>
      <w:jc w:val="both"/>
    </w:pPr>
  </w:style>
  <w:style w:type="character" w:customStyle="1" w:styleId="Heading3Char">
    <w:name w:val="Heading 3 Char"/>
    <w:basedOn w:val="DefaultParagraphFont"/>
    <w:link w:val="Heading3"/>
    <w:uiPriority w:val="9"/>
    <w:rsid w:val="003B6307"/>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3B6307"/>
    <w:rPr>
      <w:rFonts w:ascii="Times New Roman" w:eastAsiaTheme="majorEastAsia" w:hAnsi="Times New Roman" w:cstheme="majorBidi"/>
      <w:b/>
      <w:i/>
      <w:iCs/>
      <w:sz w:val="24"/>
    </w:rPr>
  </w:style>
  <w:style w:type="character" w:customStyle="1" w:styleId="Heading5Char">
    <w:name w:val="Heading 5 Char"/>
    <w:basedOn w:val="DefaultParagraphFont"/>
    <w:link w:val="Heading5"/>
    <w:uiPriority w:val="9"/>
    <w:rsid w:val="003B6307"/>
    <w:rPr>
      <w:rFonts w:ascii="Times New Roman" w:eastAsiaTheme="majorEastAsia" w:hAnsi="Times New Roman" w:cstheme="majorBidi"/>
      <w:b/>
      <w:sz w:val="24"/>
    </w:rPr>
  </w:style>
  <w:style w:type="paragraph" w:styleId="TOC3">
    <w:name w:val="toc 3"/>
    <w:basedOn w:val="Normal"/>
    <w:next w:val="Normal"/>
    <w:autoRedefine/>
    <w:uiPriority w:val="39"/>
    <w:unhideWhenUsed/>
    <w:rsid w:val="00F23D42"/>
    <w:pPr>
      <w:tabs>
        <w:tab w:val="right" w:leader="dot" w:pos="9062"/>
      </w:tabs>
      <w:spacing w:after="100"/>
      <w:ind w:left="440"/>
      <w:jc w:val="both"/>
    </w:pPr>
  </w:style>
  <w:style w:type="paragraph" w:styleId="BlockText">
    <w:name w:val="Block Text"/>
    <w:basedOn w:val="Normal"/>
    <w:rsid w:val="008B5C06"/>
    <w:pPr>
      <w:spacing w:after="0" w:line="360" w:lineRule="auto"/>
      <w:ind w:left="-284" w:right="-425" w:firstLine="992"/>
      <w:jc w:val="both"/>
    </w:pPr>
    <w:rPr>
      <w:rFonts w:ascii="Arial" w:eastAsia="Times New Roman" w:hAnsi="Arial" w:cs="Arial"/>
      <w:sz w:val="24"/>
      <w:szCs w:val="20"/>
    </w:rPr>
  </w:style>
  <w:style w:type="paragraph" w:styleId="BodyText2">
    <w:name w:val="Body Text 2"/>
    <w:basedOn w:val="Normal"/>
    <w:link w:val="BodyText2Char"/>
    <w:uiPriority w:val="99"/>
    <w:unhideWhenUsed/>
    <w:rsid w:val="009041B4"/>
    <w:pPr>
      <w:spacing w:after="120" w:line="480" w:lineRule="auto"/>
    </w:pPr>
  </w:style>
  <w:style w:type="character" w:customStyle="1" w:styleId="BodyText2Char">
    <w:name w:val="Body Text 2 Char"/>
    <w:basedOn w:val="DefaultParagraphFont"/>
    <w:link w:val="BodyText2"/>
    <w:uiPriority w:val="99"/>
    <w:rsid w:val="009041B4"/>
  </w:style>
  <w:style w:type="paragraph" w:styleId="NoSpacing">
    <w:name w:val="No Spacing"/>
    <w:link w:val="NoSpacingChar"/>
    <w:uiPriority w:val="1"/>
    <w:qFormat/>
    <w:rsid w:val="006F45F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F45F9"/>
    <w:rPr>
      <w:rFonts w:eastAsiaTheme="minorEastAsia"/>
      <w:lang w:val="en-US" w:eastAsia="ja-JP"/>
    </w:rPr>
  </w:style>
  <w:style w:type="paragraph" w:styleId="EndnoteText">
    <w:name w:val="endnote text"/>
    <w:basedOn w:val="Normal"/>
    <w:link w:val="EndnoteTextChar"/>
    <w:uiPriority w:val="99"/>
    <w:semiHidden/>
    <w:unhideWhenUsed/>
    <w:rsid w:val="002D608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D6087"/>
    <w:rPr>
      <w:sz w:val="20"/>
      <w:szCs w:val="20"/>
    </w:rPr>
  </w:style>
  <w:style w:type="character" w:styleId="EndnoteReference">
    <w:name w:val="endnote reference"/>
    <w:basedOn w:val="DefaultParagraphFont"/>
    <w:uiPriority w:val="99"/>
    <w:semiHidden/>
    <w:unhideWhenUsed/>
    <w:rsid w:val="002D6087"/>
    <w:rPr>
      <w:vertAlign w:val="superscript"/>
    </w:rPr>
  </w:style>
  <w:style w:type="paragraph" w:customStyle="1" w:styleId="style5">
    <w:name w:val="style5"/>
    <w:basedOn w:val="Normal"/>
    <w:rsid w:val="004768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0">
    <w:name w:val="default"/>
    <w:basedOn w:val="Normal"/>
    <w:rsid w:val="00413F9F"/>
    <w:pPr>
      <w:spacing w:after="0" w:line="240" w:lineRule="auto"/>
    </w:pPr>
    <w:rPr>
      <w:rFonts w:ascii="Times New Roman" w:hAnsi="Times New Roman" w:cs="Times New Roman"/>
      <w:color w:val="000000"/>
      <w:sz w:val="24"/>
      <w:szCs w:val="24"/>
      <w:lang w:eastAsia="tr-TR"/>
    </w:rPr>
  </w:style>
  <w:style w:type="paragraph" w:styleId="TOC4">
    <w:name w:val="toc 4"/>
    <w:basedOn w:val="Normal"/>
    <w:next w:val="Normal"/>
    <w:autoRedefine/>
    <w:uiPriority w:val="39"/>
    <w:unhideWhenUsed/>
    <w:rsid w:val="00BE729F"/>
    <w:pPr>
      <w:spacing w:after="100"/>
      <w:ind w:left="660"/>
    </w:pPr>
    <w:rPr>
      <w:rFonts w:eastAsiaTheme="minorEastAsia"/>
      <w:lang w:eastAsia="tr-TR"/>
    </w:rPr>
  </w:style>
  <w:style w:type="paragraph" w:styleId="TOC5">
    <w:name w:val="toc 5"/>
    <w:basedOn w:val="Normal"/>
    <w:next w:val="Normal"/>
    <w:autoRedefine/>
    <w:uiPriority w:val="39"/>
    <w:unhideWhenUsed/>
    <w:rsid w:val="00BE729F"/>
    <w:pPr>
      <w:spacing w:after="100"/>
      <w:ind w:left="880"/>
    </w:pPr>
    <w:rPr>
      <w:rFonts w:eastAsiaTheme="minorEastAsia"/>
      <w:lang w:eastAsia="tr-TR"/>
    </w:rPr>
  </w:style>
  <w:style w:type="paragraph" w:styleId="TOC6">
    <w:name w:val="toc 6"/>
    <w:basedOn w:val="Normal"/>
    <w:next w:val="Normal"/>
    <w:autoRedefine/>
    <w:uiPriority w:val="39"/>
    <w:unhideWhenUsed/>
    <w:rsid w:val="00BE729F"/>
    <w:pPr>
      <w:spacing w:after="100"/>
      <w:ind w:left="1100"/>
    </w:pPr>
    <w:rPr>
      <w:rFonts w:eastAsiaTheme="minorEastAsia"/>
      <w:lang w:eastAsia="tr-TR"/>
    </w:rPr>
  </w:style>
  <w:style w:type="paragraph" w:styleId="TOC7">
    <w:name w:val="toc 7"/>
    <w:basedOn w:val="Normal"/>
    <w:next w:val="Normal"/>
    <w:autoRedefine/>
    <w:uiPriority w:val="39"/>
    <w:unhideWhenUsed/>
    <w:rsid w:val="00BE729F"/>
    <w:pPr>
      <w:spacing w:after="100"/>
      <w:ind w:left="1320"/>
    </w:pPr>
    <w:rPr>
      <w:rFonts w:eastAsiaTheme="minorEastAsia"/>
      <w:lang w:eastAsia="tr-TR"/>
    </w:rPr>
  </w:style>
  <w:style w:type="paragraph" w:styleId="TOC8">
    <w:name w:val="toc 8"/>
    <w:basedOn w:val="Normal"/>
    <w:next w:val="Normal"/>
    <w:autoRedefine/>
    <w:uiPriority w:val="39"/>
    <w:unhideWhenUsed/>
    <w:rsid w:val="00BE729F"/>
    <w:pPr>
      <w:spacing w:after="100"/>
      <w:ind w:left="1540"/>
    </w:pPr>
    <w:rPr>
      <w:rFonts w:eastAsiaTheme="minorEastAsia"/>
      <w:lang w:eastAsia="tr-TR"/>
    </w:rPr>
  </w:style>
  <w:style w:type="paragraph" w:styleId="TOC9">
    <w:name w:val="toc 9"/>
    <w:basedOn w:val="Normal"/>
    <w:next w:val="Normal"/>
    <w:autoRedefine/>
    <w:uiPriority w:val="39"/>
    <w:unhideWhenUsed/>
    <w:rsid w:val="00BE729F"/>
    <w:pPr>
      <w:spacing w:after="100"/>
      <w:ind w:left="1760"/>
    </w:pPr>
    <w:rPr>
      <w:rFonts w:eastAsiaTheme="minorEastAsia"/>
      <w:lang w:eastAsia="tr-TR"/>
    </w:rPr>
  </w:style>
  <w:style w:type="character" w:styleId="Emphasis">
    <w:name w:val="Emphasis"/>
    <w:basedOn w:val="DefaultParagraphFont"/>
    <w:uiPriority w:val="20"/>
    <w:qFormat/>
    <w:rsid w:val="00B160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360">
      <w:bodyDiv w:val="1"/>
      <w:marLeft w:val="0"/>
      <w:marRight w:val="0"/>
      <w:marTop w:val="0"/>
      <w:marBottom w:val="0"/>
      <w:divBdr>
        <w:top w:val="none" w:sz="0" w:space="0" w:color="auto"/>
        <w:left w:val="none" w:sz="0" w:space="0" w:color="auto"/>
        <w:bottom w:val="none" w:sz="0" w:space="0" w:color="auto"/>
        <w:right w:val="none" w:sz="0" w:space="0" w:color="auto"/>
      </w:divBdr>
    </w:div>
    <w:div w:id="7564518">
      <w:bodyDiv w:val="1"/>
      <w:marLeft w:val="0"/>
      <w:marRight w:val="0"/>
      <w:marTop w:val="0"/>
      <w:marBottom w:val="0"/>
      <w:divBdr>
        <w:top w:val="none" w:sz="0" w:space="0" w:color="auto"/>
        <w:left w:val="none" w:sz="0" w:space="0" w:color="auto"/>
        <w:bottom w:val="none" w:sz="0" w:space="0" w:color="auto"/>
        <w:right w:val="none" w:sz="0" w:space="0" w:color="auto"/>
      </w:divBdr>
    </w:div>
    <w:div w:id="64693469">
      <w:bodyDiv w:val="1"/>
      <w:marLeft w:val="0"/>
      <w:marRight w:val="0"/>
      <w:marTop w:val="0"/>
      <w:marBottom w:val="0"/>
      <w:divBdr>
        <w:top w:val="none" w:sz="0" w:space="0" w:color="auto"/>
        <w:left w:val="none" w:sz="0" w:space="0" w:color="auto"/>
        <w:bottom w:val="none" w:sz="0" w:space="0" w:color="auto"/>
        <w:right w:val="none" w:sz="0" w:space="0" w:color="auto"/>
      </w:divBdr>
      <w:divsChild>
        <w:div w:id="522206419">
          <w:marLeft w:val="0"/>
          <w:marRight w:val="0"/>
          <w:marTop w:val="0"/>
          <w:marBottom w:val="0"/>
          <w:divBdr>
            <w:top w:val="none" w:sz="0" w:space="0" w:color="auto"/>
            <w:left w:val="none" w:sz="0" w:space="0" w:color="auto"/>
            <w:bottom w:val="none" w:sz="0" w:space="0" w:color="auto"/>
            <w:right w:val="none" w:sz="0" w:space="0" w:color="auto"/>
          </w:divBdr>
        </w:div>
      </w:divsChild>
    </w:div>
    <w:div w:id="147325870">
      <w:bodyDiv w:val="1"/>
      <w:marLeft w:val="0"/>
      <w:marRight w:val="0"/>
      <w:marTop w:val="0"/>
      <w:marBottom w:val="0"/>
      <w:divBdr>
        <w:top w:val="none" w:sz="0" w:space="0" w:color="auto"/>
        <w:left w:val="none" w:sz="0" w:space="0" w:color="auto"/>
        <w:bottom w:val="none" w:sz="0" w:space="0" w:color="auto"/>
        <w:right w:val="none" w:sz="0" w:space="0" w:color="auto"/>
      </w:divBdr>
      <w:divsChild>
        <w:div w:id="933173743">
          <w:marLeft w:val="0"/>
          <w:marRight w:val="0"/>
          <w:marTop w:val="0"/>
          <w:marBottom w:val="0"/>
          <w:divBdr>
            <w:top w:val="none" w:sz="0" w:space="0" w:color="auto"/>
            <w:left w:val="none" w:sz="0" w:space="0" w:color="auto"/>
            <w:bottom w:val="none" w:sz="0" w:space="0" w:color="auto"/>
            <w:right w:val="none" w:sz="0" w:space="0" w:color="auto"/>
          </w:divBdr>
        </w:div>
        <w:div w:id="2001737344">
          <w:marLeft w:val="0"/>
          <w:marRight w:val="0"/>
          <w:marTop w:val="0"/>
          <w:marBottom w:val="0"/>
          <w:divBdr>
            <w:top w:val="none" w:sz="0" w:space="0" w:color="auto"/>
            <w:left w:val="none" w:sz="0" w:space="0" w:color="auto"/>
            <w:bottom w:val="none" w:sz="0" w:space="0" w:color="auto"/>
            <w:right w:val="none" w:sz="0" w:space="0" w:color="auto"/>
          </w:divBdr>
        </w:div>
        <w:div w:id="1002586836">
          <w:marLeft w:val="0"/>
          <w:marRight w:val="0"/>
          <w:marTop w:val="0"/>
          <w:marBottom w:val="0"/>
          <w:divBdr>
            <w:top w:val="none" w:sz="0" w:space="0" w:color="auto"/>
            <w:left w:val="none" w:sz="0" w:space="0" w:color="auto"/>
            <w:bottom w:val="none" w:sz="0" w:space="0" w:color="auto"/>
            <w:right w:val="none" w:sz="0" w:space="0" w:color="auto"/>
          </w:divBdr>
        </w:div>
        <w:div w:id="1620139632">
          <w:marLeft w:val="0"/>
          <w:marRight w:val="0"/>
          <w:marTop w:val="0"/>
          <w:marBottom w:val="0"/>
          <w:divBdr>
            <w:top w:val="none" w:sz="0" w:space="0" w:color="auto"/>
            <w:left w:val="none" w:sz="0" w:space="0" w:color="auto"/>
            <w:bottom w:val="none" w:sz="0" w:space="0" w:color="auto"/>
            <w:right w:val="none" w:sz="0" w:space="0" w:color="auto"/>
          </w:divBdr>
        </w:div>
      </w:divsChild>
    </w:div>
    <w:div w:id="222765381">
      <w:bodyDiv w:val="1"/>
      <w:marLeft w:val="0"/>
      <w:marRight w:val="0"/>
      <w:marTop w:val="0"/>
      <w:marBottom w:val="0"/>
      <w:divBdr>
        <w:top w:val="none" w:sz="0" w:space="0" w:color="auto"/>
        <w:left w:val="none" w:sz="0" w:space="0" w:color="auto"/>
        <w:bottom w:val="none" w:sz="0" w:space="0" w:color="auto"/>
        <w:right w:val="none" w:sz="0" w:space="0" w:color="auto"/>
      </w:divBdr>
      <w:divsChild>
        <w:div w:id="554857415">
          <w:marLeft w:val="0"/>
          <w:marRight w:val="0"/>
          <w:marTop w:val="0"/>
          <w:marBottom w:val="0"/>
          <w:divBdr>
            <w:top w:val="none" w:sz="0" w:space="0" w:color="auto"/>
            <w:left w:val="none" w:sz="0" w:space="0" w:color="auto"/>
            <w:bottom w:val="none" w:sz="0" w:space="0" w:color="auto"/>
            <w:right w:val="none" w:sz="0" w:space="0" w:color="auto"/>
          </w:divBdr>
        </w:div>
        <w:div w:id="997657424">
          <w:marLeft w:val="0"/>
          <w:marRight w:val="0"/>
          <w:marTop w:val="0"/>
          <w:marBottom w:val="0"/>
          <w:divBdr>
            <w:top w:val="none" w:sz="0" w:space="0" w:color="auto"/>
            <w:left w:val="none" w:sz="0" w:space="0" w:color="auto"/>
            <w:bottom w:val="none" w:sz="0" w:space="0" w:color="auto"/>
            <w:right w:val="none" w:sz="0" w:space="0" w:color="auto"/>
          </w:divBdr>
        </w:div>
        <w:div w:id="77215537">
          <w:marLeft w:val="0"/>
          <w:marRight w:val="0"/>
          <w:marTop w:val="0"/>
          <w:marBottom w:val="0"/>
          <w:divBdr>
            <w:top w:val="none" w:sz="0" w:space="0" w:color="auto"/>
            <w:left w:val="none" w:sz="0" w:space="0" w:color="auto"/>
            <w:bottom w:val="none" w:sz="0" w:space="0" w:color="auto"/>
            <w:right w:val="none" w:sz="0" w:space="0" w:color="auto"/>
          </w:divBdr>
        </w:div>
        <w:div w:id="2049530709">
          <w:marLeft w:val="0"/>
          <w:marRight w:val="0"/>
          <w:marTop w:val="0"/>
          <w:marBottom w:val="0"/>
          <w:divBdr>
            <w:top w:val="none" w:sz="0" w:space="0" w:color="auto"/>
            <w:left w:val="none" w:sz="0" w:space="0" w:color="auto"/>
            <w:bottom w:val="none" w:sz="0" w:space="0" w:color="auto"/>
            <w:right w:val="none" w:sz="0" w:space="0" w:color="auto"/>
          </w:divBdr>
        </w:div>
        <w:div w:id="2096779660">
          <w:marLeft w:val="0"/>
          <w:marRight w:val="0"/>
          <w:marTop w:val="0"/>
          <w:marBottom w:val="0"/>
          <w:divBdr>
            <w:top w:val="none" w:sz="0" w:space="0" w:color="auto"/>
            <w:left w:val="none" w:sz="0" w:space="0" w:color="auto"/>
            <w:bottom w:val="none" w:sz="0" w:space="0" w:color="auto"/>
            <w:right w:val="none" w:sz="0" w:space="0" w:color="auto"/>
          </w:divBdr>
        </w:div>
      </w:divsChild>
    </w:div>
    <w:div w:id="238370868">
      <w:bodyDiv w:val="1"/>
      <w:marLeft w:val="0"/>
      <w:marRight w:val="0"/>
      <w:marTop w:val="0"/>
      <w:marBottom w:val="0"/>
      <w:divBdr>
        <w:top w:val="none" w:sz="0" w:space="0" w:color="auto"/>
        <w:left w:val="none" w:sz="0" w:space="0" w:color="auto"/>
        <w:bottom w:val="none" w:sz="0" w:space="0" w:color="auto"/>
        <w:right w:val="none" w:sz="0" w:space="0" w:color="auto"/>
      </w:divBdr>
    </w:div>
    <w:div w:id="284308636">
      <w:bodyDiv w:val="1"/>
      <w:marLeft w:val="0"/>
      <w:marRight w:val="0"/>
      <w:marTop w:val="0"/>
      <w:marBottom w:val="0"/>
      <w:divBdr>
        <w:top w:val="none" w:sz="0" w:space="0" w:color="auto"/>
        <w:left w:val="none" w:sz="0" w:space="0" w:color="auto"/>
        <w:bottom w:val="none" w:sz="0" w:space="0" w:color="auto"/>
        <w:right w:val="none" w:sz="0" w:space="0" w:color="auto"/>
      </w:divBdr>
    </w:div>
    <w:div w:id="333344574">
      <w:bodyDiv w:val="1"/>
      <w:marLeft w:val="0"/>
      <w:marRight w:val="0"/>
      <w:marTop w:val="0"/>
      <w:marBottom w:val="0"/>
      <w:divBdr>
        <w:top w:val="none" w:sz="0" w:space="0" w:color="auto"/>
        <w:left w:val="none" w:sz="0" w:space="0" w:color="auto"/>
        <w:bottom w:val="none" w:sz="0" w:space="0" w:color="auto"/>
        <w:right w:val="none" w:sz="0" w:space="0" w:color="auto"/>
      </w:divBdr>
    </w:div>
    <w:div w:id="372388423">
      <w:bodyDiv w:val="1"/>
      <w:marLeft w:val="0"/>
      <w:marRight w:val="0"/>
      <w:marTop w:val="0"/>
      <w:marBottom w:val="0"/>
      <w:divBdr>
        <w:top w:val="none" w:sz="0" w:space="0" w:color="auto"/>
        <w:left w:val="none" w:sz="0" w:space="0" w:color="auto"/>
        <w:bottom w:val="none" w:sz="0" w:space="0" w:color="auto"/>
        <w:right w:val="none" w:sz="0" w:space="0" w:color="auto"/>
      </w:divBdr>
    </w:div>
    <w:div w:id="395594391">
      <w:bodyDiv w:val="1"/>
      <w:marLeft w:val="0"/>
      <w:marRight w:val="0"/>
      <w:marTop w:val="0"/>
      <w:marBottom w:val="0"/>
      <w:divBdr>
        <w:top w:val="none" w:sz="0" w:space="0" w:color="auto"/>
        <w:left w:val="none" w:sz="0" w:space="0" w:color="auto"/>
        <w:bottom w:val="none" w:sz="0" w:space="0" w:color="auto"/>
        <w:right w:val="none" w:sz="0" w:space="0" w:color="auto"/>
      </w:divBdr>
    </w:div>
    <w:div w:id="445467891">
      <w:bodyDiv w:val="1"/>
      <w:marLeft w:val="0"/>
      <w:marRight w:val="0"/>
      <w:marTop w:val="0"/>
      <w:marBottom w:val="0"/>
      <w:divBdr>
        <w:top w:val="none" w:sz="0" w:space="0" w:color="auto"/>
        <w:left w:val="none" w:sz="0" w:space="0" w:color="auto"/>
        <w:bottom w:val="none" w:sz="0" w:space="0" w:color="auto"/>
        <w:right w:val="none" w:sz="0" w:space="0" w:color="auto"/>
      </w:divBdr>
    </w:div>
    <w:div w:id="536507153">
      <w:bodyDiv w:val="1"/>
      <w:marLeft w:val="0"/>
      <w:marRight w:val="0"/>
      <w:marTop w:val="0"/>
      <w:marBottom w:val="0"/>
      <w:divBdr>
        <w:top w:val="none" w:sz="0" w:space="0" w:color="auto"/>
        <w:left w:val="none" w:sz="0" w:space="0" w:color="auto"/>
        <w:bottom w:val="none" w:sz="0" w:space="0" w:color="auto"/>
        <w:right w:val="none" w:sz="0" w:space="0" w:color="auto"/>
      </w:divBdr>
    </w:div>
    <w:div w:id="566887318">
      <w:bodyDiv w:val="1"/>
      <w:marLeft w:val="0"/>
      <w:marRight w:val="0"/>
      <w:marTop w:val="0"/>
      <w:marBottom w:val="0"/>
      <w:divBdr>
        <w:top w:val="none" w:sz="0" w:space="0" w:color="auto"/>
        <w:left w:val="none" w:sz="0" w:space="0" w:color="auto"/>
        <w:bottom w:val="none" w:sz="0" w:space="0" w:color="auto"/>
        <w:right w:val="none" w:sz="0" w:space="0" w:color="auto"/>
      </w:divBdr>
    </w:div>
    <w:div w:id="676153743">
      <w:bodyDiv w:val="1"/>
      <w:marLeft w:val="0"/>
      <w:marRight w:val="0"/>
      <w:marTop w:val="0"/>
      <w:marBottom w:val="0"/>
      <w:divBdr>
        <w:top w:val="none" w:sz="0" w:space="0" w:color="auto"/>
        <w:left w:val="none" w:sz="0" w:space="0" w:color="auto"/>
        <w:bottom w:val="none" w:sz="0" w:space="0" w:color="auto"/>
        <w:right w:val="none" w:sz="0" w:space="0" w:color="auto"/>
      </w:divBdr>
    </w:div>
    <w:div w:id="803740084">
      <w:bodyDiv w:val="1"/>
      <w:marLeft w:val="0"/>
      <w:marRight w:val="0"/>
      <w:marTop w:val="0"/>
      <w:marBottom w:val="0"/>
      <w:divBdr>
        <w:top w:val="none" w:sz="0" w:space="0" w:color="auto"/>
        <w:left w:val="none" w:sz="0" w:space="0" w:color="auto"/>
        <w:bottom w:val="none" w:sz="0" w:space="0" w:color="auto"/>
        <w:right w:val="none" w:sz="0" w:space="0" w:color="auto"/>
      </w:divBdr>
    </w:div>
    <w:div w:id="811678126">
      <w:bodyDiv w:val="1"/>
      <w:marLeft w:val="0"/>
      <w:marRight w:val="0"/>
      <w:marTop w:val="0"/>
      <w:marBottom w:val="0"/>
      <w:divBdr>
        <w:top w:val="none" w:sz="0" w:space="0" w:color="auto"/>
        <w:left w:val="none" w:sz="0" w:space="0" w:color="auto"/>
        <w:bottom w:val="none" w:sz="0" w:space="0" w:color="auto"/>
        <w:right w:val="none" w:sz="0" w:space="0" w:color="auto"/>
      </w:divBdr>
    </w:div>
    <w:div w:id="872377966">
      <w:bodyDiv w:val="1"/>
      <w:marLeft w:val="0"/>
      <w:marRight w:val="0"/>
      <w:marTop w:val="0"/>
      <w:marBottom w:val="0"/>
      <w:divBdr>
        <w:top w:val="none" w:sz="0" w:space="0" w:color="auto"/>
        <w:left w:val="none" w:sz="0" w:space="0" w:color="auto"/>
        <w:bottom w:val="none" w:sz="0" w:space="0" w:color="auto"/>
        <w:right w:val="none" w:sz="0" w:space="0" w:color="auto"/>
      </w:divBdr>
    </w:div>
    <w:div w:id="910503962">
      <w:bodyDiv w:val="1"/>
      <w:marLeft w:val="0"/>
      <w:marRight w:val="0"/>
      <w:marTop w:val="0"/>
      <w:marBottom w:val="0"/>
      <w:divBdr>
        <w:top w:val="none" w:sz="0" w:space="0" w:color="auto"/>
        <w:left w:val="none" w:sz="0" w:space="0" w:color="auto"/>
        <w:bottom w:val="none" w:sz="0" w:space="0" w:color="auto"/>
        <w:right w:val="none" w:sz="0" w:space="0" w:color="auto"/>
      </w:divBdr>
    </w:div>
    <w:div w:id="998730960">
      <w:bodyDiv w:val="1"/>
      <w:marLeft w:val="0"/>
      <w:marRight w:val="0"/>
      <w:marTop w:val="0"/>
      <w:marBottom w:val="0"/>
      <w:divBdr>
        <w:top w:val="none" w:sz="0" w:space="0" w:color="auto"/>
        <w:left w:val="none" w:sz="0" w:space="0" w:color="auto"/>
        <w:bottom w:val="none" w:sz="0" w:space="0" w:color="auto"/>
        <w:right w:val="none" w:sz="0" w:space="0" w:color="auto"/>
      </w:divBdr>
    </w:div>
    <w:div w:id="1022971415">
      <w:bodyDiv w:val="1"/>
      <w:marLeft w:val="0"/>
      <w:marRight w:val="0"/>
      <w:marTop w:val="0"/>
      <w:marBottom w:val="0"/>
      <w:divBdr>
        <w:top w:val="none" w:sz="0" w:space="0" w:color="auto"/>
        <w:left w:val="none" w:sz="0" w:space="0" w:color="auto"/>
        <w:bottom w:val="none" w:sz="0" w:space="0" w:color="auto"/>
        <w:right w:val="none" w:sz="0" w:space="0" w:color="auto"/>
      </w:divBdr>
    </w:div>
    <w:div w:id="1084033219">
      <w:bodyDiv w:val="1"/>
      <w:marLeft w:val="0"/>
      <w:marRight w:val="0"/>
      <w:marTop w:val="0"/>
      <w:marBottom w:val="0"/>
      <w:divBdr>
        <w:top w:val="none" w:sz="0" w:space="0" w:color="auto"/>
        <w:left w:val="none" w:sz="0" w:space="0" w:color="auto"/>
        <w:bottom w:val="none" w:sz="0" w:space="0" w:color="auto"/>
        <w:right w:val="none" w:sz="0" w:space="0" w:color="auto"/>
      </w:divBdr>
    </w:div>
    <w:div w:id="1102532378">
      <w:bodyDiv w:val="1"/>
      <w:marLeft w:val="0"/>
      <w:marRight w:val="0"/>
      <w:marTop w:val="0"/>
      <w:marBottom w:val="0"/>
      <w:divBdr>
        <w:top w:val="none" w:sz="0" w:space="0" w:color="auto"/>
        <w:left w:val="none" w:sz="0" w:space="0" w:color="auto"/>
        <w:bottom w:val="none" w:sz="0" w:space="0" w:color="auto"/>
        <w:right w:val="none" w:sz="0" w:space="0" w:color="auto"/>
      </w:divBdr>
    </w:div>
    <w:div w:id="1242639792">
      <w:bodyDiv w:val="1"/>
      <w:marLeft w:val="0"/>
      <w:marRight w:val="0"/>
      <w:marTop w:val="0"/>
      <w:marBottom w:val="0"/>
      <w:divBdr>
        <w:top w:val="none" w:sz="0" w:space="0" w:color="auto"/>
        <w:left w:val="none" w:sz="0" w:space="0" w:color="auto"/>
        <w:bottom w:val="none" w:sz="0" w:space="0" w:color="auto"/>
        <w:right w:val="none" w:sz="0" w:space="0" w:color="auto"/>
      </w:divBdr>
    </w:div>
    <w:div w:id="1278633391">
      <w:bodyDiv w:val="1"/>
      <w:marLeft w:val="0"/>
      <w:marRight w:val="0"/>
      <w:marTop w:val="0"/>
      <w:marBottom w:val="0"/>
      <w:divBdr>
        <w:top w:val="none" w:sz="0" w:space="0" w:color="auto"/>
        <w:left w:val="none" w:sz="0" w:space="0" w:color="auto"/>
        <w:bottom w:val="none" w:sz="0" w:space="0" w:color="auto"/>
        <w:right w:val="none" w:sz="0" w:space="0" w:color="auto"/>
      </w:divBdr>
    </w:div>
    <w:div w:id="1416707104">
      <w:bodyDiv w:val="1"/>
      <w:marLeft w:val="0"/>
      <w:marRight w:val="0"/>
      <w:marTop w:val="0"/>
      <w:marBottom w:val="0"/>
      <w:divBdr>
        <w:top w:val="none" w:sz="0" w:space="0" w:color="auto"/>
        <w:left w:val="none" w:sz="0" w:space="0" w:color="auto"/>
        <w:bottom w:val="none" w:sz="0" w:space="0" w:color="auto"/>
        <w:right w:val="none" w:sz="0" w:space="0" w:color="auto"/>
      </w:divBdr>
    </w:div>
    <w:div w:id="1427458065">
      <w:bodyDiv w:val="1"/>
      <w:marLeft w:val="0"/>
      <w:marRight w:val="0"/>
      <w:marTop w:val="0"/>
      <w:marBottom w:val="0"/>
      <w:divBdr>
        <w:top w:val="none" w:sz="0" w:space="0" w:color="auto"/>
        <w:left w:val="none" w:sz="0" w:space="0" w:color="auto"/>
        <w:bottom w:val="none" w:sz="0" w:space="0" w:color="auto"/>
        <w:right w:val="none" w:sz="0" w:space="0" w:color="auto"/>
      </w:divBdr>
    </w:div>
    <w:div w:id="1633631954">
      <w:bodyDiv w:val="1"/>
      <w:marLeft w:val="0"/>
      <w:marRight w:val="0"/>
      <w:marTop w:val="0"/>
      <w:marBottom w:val="0"/>
      <w:divBdr>
        <w:top w:val="none" w:sz="0" w:space="0" w:color="auto"/>
        <w:left w:val="none" w:sz="0" w:space="0" w:color="auto"/>
        <w:bottom w:val="none" w:sz="0" w:space="0" w:color="auto"/>
        <w:right w:val="none" w:sz="0" w:space="0" w:color="auto"/>
      </w:divBdr>
    </w:div>
    <w:div w:id="1643658428">
      <w:bodyDiv w:val="1"/>
      <w:marLeft w:val="0"/>
      <w:marRight w:val="0"/>
      <w:marTop w:val="0"/>
      <w:marBottom w:val="0"/>
      <w:divBdr>
        <w:top w:val="none" w:sz="0" w:space="0" w:color="auto"/>
        <w:left w:val="none" w:sz="0" w:space="0" w:color="auto"/>
        <w:bottom w:val="none" w:sz="0" w:space="0" w:color="auto"/>
        <w:right w:val="none" w:sz="0" w:space="0" w:color="auto"/>
      </w:divBdr>
    </w:div>
    <w:div w:id="1701316997">
      <w:bodyDiv w:val="1"/>
      <w:marLeft w:val="0"/>
      <w:marRight w:val="0"/>
      <w:marTop w:val="0"/>
      <w:marBottom w:val="0"/>
      <w:divBdr>
        <w:top w:val="none" w:sz="0" w:space="0" w:color="auto"/>
        <w:left w:val="none" w:sz="0" w:space="0" w:color="auto"/>
        <w:bottom w:val="none" w:sz="0" w:space="0" w:color="auto"/>
        <w:right w:val="none" w:sz="0" w:space="0" w:color="auto"/>
      </w:divBdr>
    </w:div>
    <w:div w:id="1776710772">
      <w:bodyDiv w:val="1"/>
      <w:marLeft w:val="0"/>
      <w:marRight w:val="0"/>
      <w:marTop w:val="0"/>
      <w:marBottom w:val="0"/>
      <w:divBdr>
        <w:top w:val="none" w:sz="0" w:space="0" w:color="auto"/>
        <w:left w:val="none" w:sz="0" w:space="0" w:color="auto"/>
        <w:bottom w:val="none" w:sz="0" w:space="0" w:color="auto"/>
        <w:right w:val="none" w:sz="0" w:space="0" w:color="auto"/>
      </w:divBdr>
    </w:div>
    <w:div w:id="1864905399">
      <w:bodyDiv w:val="1"/>
      <w:marLeft w:val="0"/>
      <w:marRight w:val="0"/>
      <w:marTop w:val="0"/>
      <w:marBottom w:val="0"/>
      <w:divBdr>
        <w:top w:val="none" w:sz="0" w:space="0" w:color="auto"/>
        <w:left w:val="none" w:sz="0" w:space="0" w:color="auto"/>
        <w:bottom w:val="none" w:sz="0" w:space="0" w:color="auto"/>
        <w:right w:val="none" w:sz="0" w:space="0" w:color="auto"/>
      </w:divBdr>
    </w:div>
    <w:div w:id="1893232700">
      <w:bodyDiv w:val="1"/>
      <w:marLeft w:val="0"/>
      <w:marRight w:val="0"/>
      <w:marTop w:val="0"/>
      <w:marBottom w:val="0"/>
      <w:divBdr>
        <w:top w:val="none" w:sz="0" w:space="0" w:color="auto"/>
        <w:left w:val="none" w:sz="0" w:space="0" w:color="auto"/>
        <w:bottom w:val="none" w:sz="0" w:space="0" w:color="auto"/>
        <w:right w:val="none" w:sz="0" w:space="0" w:color="auto"/>
      </w:divBdr>
    </w:div>
    <w:div w:id="1947153343">
      <w:bodyDiv w:val="1"/>
      <w:marLeft w:val="0"/>
      <w:marRight w:val="0"/>
      <w:marTop w:val="0"/>
      <w:marBottom w:val="0"/>
      <w:divBdr>
        <w:top w:val="none" w:sz="0" w:space="0" w:color="auto"/>
        <w:left w:val="none" w:sz="0" w:space="0" w:color="auto"/>
        <w:bottom w:val="none" w:sz="0" w:space="0" w:color="auto"/>
        <w:right w:val="none" w:sz="0" w:space="0" w:color="auto"/>
      </w:divBdr>
    </w:div>
    <w:div w:id="2042507762">
      <w:bodyDiv w:val="1"/>
      <w:marLeft w:val="0"/>
      <w:marRight w:val="0"/>
      <w:marTop w:val="0"/>
      <w:marBottom w:val="0"/>
      <w:divBdr>
        <w:top w:val="none" w:sz="0" w:space="0" w:color="auto"/>
        <w:left w:val="none" w:sz="0" w:space="0" w:color="auto"/>
        <w:bottom w:val="none" w:sz="0" w:space="0" w:color="auto"/>
        <w:right w:val="none" w:sz="0" w:space="0" w:color="auto"/>
      </w:divBdr>
      <w:divsChild>
        <w:div w:id="1829051163">
          <w:marLeft w:val="0"/>
          <w:marRight w:val="0"/>
          <w:marTop w:val="0"/>
          <w:marBottom w:val="0"/>
          <w:divBdr>
            <w:top w:val="none" w:sz="0" w:space="0" w:color="auto"/>
            <w:left w:val="none" w:sz="0" w:space="0" w:color="auto"/>
            <w:bottom w:val="none" w:sz="0" w:space="0" w:color="auto"/>
            <w:right w:val="none" w:sz="0" w:space="0" w:color="auto"/>
          </w:divBdr>
          <w:divsChild>
            <w:div w:id="229770640">
              <w:marLeft w:val="0"/>
              <w:marRight w:val="0"/>
              <w:marTop w:val="0"/>
              <w:marBottom w:val="0"/>
              <w:divBdr>
                <w:top w:val="none" w:sz="0" w:space="0" w:color="auto"/>
                <w:left w:val="none" w:sz="0" w:space="0" w:color="auto"/>
                <w:bottom w:val="none" w:sz="0" w:space="0" w:color="auto"/>
                <w:right w:val="none" w:sz="0" w:space="0" w:color="auto"/>
              </w:divBdr>
              <w:divsChild>
                <w:div w:id="86737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54583">
      <w:bodyDiv w:val="1"/>
      <w:marLeft w:val="0"/>
      <w:marRight w:val="0"/>
      <w:marTop w:val="0"/>
      <w:marBottom w:val="0"/>
      <w:divBdr>
        <w:top w:val="none" w:sz="0" w:space="0" w:color="auto"/>
        <w:left w:val="none" w:sz="0" w:space="0" w:color="auto"/>
        <w:bottom w:val="none" w:sz="0" w:space="0" w:color="auto"/>
        <w:right w:val="none" w:sz="0" w:space="0" w:color="auto"/>
      </w:divBdr>
    </w:div>
    <w:div w:id="2062052774">
      <w:bodyDiv w:val="1"/>
      <w:marLeft w:val="0"/>
      <w:marRight w:val="0"/>
      <w:marTop w:val="0"/>
      <w:marBottom w:val="0"/>
      <w:divBdr>
        <w:top w:val="none" w:sz="0" w:space="0" w:color="auto"/>
        <w:left w:val="none" w:sz="0" w:space="0" w:color="auto"/>
        <w:bottom w:val="none" w:sz="0" w:space="0" w:color="auto"/>
        <w:right w:val="none" w:sz="0" w:space="0" w:color="auto"/>
      </w:divBdr>
    </w:div>
    <w:div w:id="211524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DC889673AF42E29B6BD23A8EFBEE66"/>
        <w:category>
          <w:name w:val="General"/>
          <w:gallery w:val="placeholder"/>
        </w:category>
        <w:types>
          <w:type w:val="bbPlcHdr"/>
        </w:types>
        <w:behaviors>
          <w:behavior w:val="content"/>
        </w:behaviors>
        <w:guid w:val="{A40E90C9-8B6C-4158-9C83-B34BD058F961}"/>
      </w:docPartPr>
      <w:docPartBody>
        <w:p w:rsidR="006E0F19" w:rsidRDefault="006E0F19" w:rsidP="006E0F19">
          <w:pPr>
            <w:pStyle w:val="03DC889673AF42E29B6BD23A8EFBEE66"/>
          </w:pPr>
          <w:r>
            <w:rPr>
              <w:rFonts w:asciiTheme="majorHAnsi" w:eastAsiaTheme="majorEastAsia" w:hAnsiTheme="majorHAnsi" w:cstheme="majorBidi"/>
              <w:caps/>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Schoolbook">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MT">
    <w:panose1 w:val="00000000000000000000"/>
    <w:charset w:val="A2"/>
    <w:family w:val="auto"/>
    <w:notTrueType/>
    <w:pitch w:val="default"/>
    <w:sig w:usb0="00000005" w:usb1="00000000" w:usb2="00000000" w:usb3="00000000" w:csb0="00000010" w:csb1="00000000"/>
  </w:font>
  <w:font w:name="CenturySchoolbook-Bold">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2"/>
  </w:compat>
  <w:rsids>
    <w:rsidRoot w:val="006E0F19"/>
    <w:rsid w:val="000379A9"/>
    <w:rsid w:val="00050AD9"/>
    <w:rsid w:val="0009487A"/>
    <w:rsid w:val="000B7927"/>
    <w:rsid w:val="000B7A61"/>
    <w:rsid w:val="000F4561"/>
    <w:rsid w:val="00111764"/>
    <w:rsid w:val="00120084"/>
    <w:rsid w:val="00137BDC"/>
    <w:rsid w:val="00147E70"/>
    <w:rsid w:val="001814DE"/>
    <w:rsid w:val="001C5B4E"/>
    <w:rsid w:val="001D76E4"/>
    <w:rsid w:val="001E3BD4"/>
    <w:rsid w:val="001F1B49"/>
    <w:rsid w:val="001F73DB"/>
    <w:rsid w:val="00206B0C"/>
    <w:rsid w:val="0022501E"/>
    <w:rsid w:val="00243B58"/>
    <w:rsid w:val="00251CB2"/>
    <w:rsid w:val="0026631A"/>
    <w:rsid w:val="00270EAB"/>
    <w:rsid w:val="00280B6A"/>
    <w:rsid w:val="0028554F"/>
    <w:rsid w:val="002A0ADD"/>
    <w:rsid w:val="002A2C3A"/>
    <w:rsid w:val="002C3548"/>
    <w:rsid w:val="002E06CE"/>
    <w:rsid w:val="002E4D70"/>
    <w:rsid w:val="002F2803"/>
    <w:rsid w:val="002F2DCD"/>
    <w:rsid w:val="00370845"/>
    <w:rsid w:val="00392DBA"/>
    <w:rsid w:val="003C30A2"/>
    <w:rsid w:val="003D0682"/>
    <w:rsid w:val="003F1269"/>
    <w:rsid w:val="00407913"/>
    <w:rsid w:val="004359B3"/>
    <w:rsid w:val="00445ABC"/>
    <w:rsid w:val="00454926"/>
    <w:rsid w:val="004E7E1D"/>
    <w:rsid w:val="00521D4C"/>
    <w:rsid w:val="0053385B"/>
    <w:rsid w:val="005469A8"/>
    <w:rsid w:val="005605EF"/>
    <w:rsid w:val="00570EA3"/>
    <w:rsid w:val="00581972"/>
    <w:rsid w:val="005832D0"/>
    <w:rsid w:val="006171A0"/>
    <w:rsid w:val="00625441"/>
    <w:rsid w:val="006A55F1"/>
    <w:rsid w:val="006B1E6F"/>
    <w:rsid w:val="006E0F19"/>
    <w:rsid w:val="006E6BA0"/>
    <w:rsid w:val="00745EB9"/>
    <w:rsid w:val="00801C62"/>
    <w:rsid w:val="0080290E"/>
    <w:rsid w:val="00805F05"/>
    <w:rsid w:val="00817431"/>
    <w:rsid w:val="00830995"/>
    <w:rsid w:val="008A6D91"/>
    <w:rsid w:val="008B29B5"/>
    <w:rsid w:val="008E6302"/>
    <w:rsid w:val="009158AB"/>
    <w:rsid w:val="00925BE1"/>
    <w:rsid w:val="00956000"/>
    <w:rsid w:val="009679F8"/>
    <w:rsid w:val="009B3E15"/>
    <w:rsid w:val="009B7D1E"/>
    <w:rsid w:val="009D4929"/>
    <w:rsid w:val="009F015E"/>
    <w:rsid w:val="00A3126D"/>
    <w:rsid w:val="00A85D0B"/>
    <w:rsid w:val="00AA405A"/>
    <w:rsid w:val="00AF60FE"/>
    <w:rsid w:val="00B0356E"/>
    <w:rsid w:val="00B03BD4"/>
    <w:rsid w:val="00B709D2"/>
    <w:rsid w:val="00BB2836"/>
    <w:rsid w:val="00BB2EEB"/>
    <w:rsid w:val="00C06B84"/>
    <w:rsid w:val="00C142DE"/>
    <w:rsid w:val="00C20281"/>
    <w:rsid w:val="00C30F01"/>
    <w:rsid w:val="00C67CCC"/>
    <w:rsid w:val="00C90AB6"/>
    <w:rsid w:val="00CA79C4"/>
    <w:rsid w:val="00CD047F"/>
    <w:rsid w:val="00D140B9"/>
    <w:rsid w:val="00D30E55"/>
    <w:rsid w:val="00D9423D"/>
    <w:rsid w:val="00DA3EF4"/>
    <w:rsid w:val="00DA657D"/>
    <w:rsid w:val="00DF6072"/>
    <w:rsid w:val="00E01C21"/>
    <w:rsid w:val="00F01BFA"/>
    <w:rsid w:val="00F21AFD"/>
    <w:rsid w:val="00F22E5F"/>
    <w:rsid w:val="00F341FB"/>
    <w:rsid w:val="00F66B7F"/>
    <w:rsid w:val="00FB52BD"/>
    <w:rsid w:val="00FD1A66"/>
    <w:rsid w:val="00FF429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A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DC889673AF42E29B6BD23A8EFBEE66">
    <w:name w:val="03DC889673AF42E29B6BD23A8EFBEE66"/>
    <w:rsid w:val="006E0F19"/>
  </w:style>
  <w:style w:type="paragraph" w:customStyle="1" w:styleId="E0FD92F5A5FE4042A4CCCABD5B0D9F95">
    <w:name w:val="E0FD92F5A5FE4042A4CCCABD5B0D9F95"/>
    <w:rsid w:val="006E0F19"/>
  </w:style>
  <w:style w:type="paragraph" w:customStyle="1" w:styleId="AAE18ECFC4004DE48C60EDA512956AAE">
    <w:name w:val="AAE18ECFC4004DE48C60EDA512956AAE"/>
    <w:rsid w:val="006E0F19"/>
  </w:style>
  <w:style w:type="paragraph" w:customStyle="1" w:styleId="B1B3A8D8180249B08E85B6CE533C7E1B">
    <w:name w:val="B1B3A8D8180249B08E85B6CE533C7E1B"/>
    <w:rsid w:val="006E0F19"/>
  </w:style>
  <w:style w:type="paragraph" w:customStyle="1" w:styleId="5AAB1FE9B06345168356BD97B6832647">
    <w:name w:val="5AAB1FE9B06345168356BD97B6832647"/>
    <w:rsid w:val="006E0F19"/>
  </w:style>
  <w:style w:type="paragraph" w:customStyle="1" w:styleId="847C91B251DA4E16944DAECA96A2F27B">
    <w:name w:val="847C91B251DA4E16944DAECA96A2F27B"/>
    <w:rsid w:val="006E0F19"/>
  </w:style>
  <w:style w:type="paragraph" w:customStyle="1" w:styleId="62AB79B76C5947FAAF1267D3803AE578">
    <w:name w:val="62AB79B76C5947FAAF1267D3803AE578"/>
    <w:rsid w:val="00521D4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17E28-7D2B-4145-97A5-81A2EFCD7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27145</Words>
  <Characters>154733</Characters>
  <Application>Microsoft Office Word</Application>
  <DocSecurity>0</DocSecurity>
  <Lines>1289</Lines>
  <Paragraphs>363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Yatırım Fonlarına İlişkin Rehber</vt:lpstr>
      <vt:lpstr>Yatırım Fonlarına İlişkin Rehber</vt:lpstr>
    </vt:vector>
  </TitlesOfParts>
  <Company>SERMAYE PİYASASI KURULU</Company>
  <LinksUpToDate>false</LinksUpToDate>
  <CharactersWithSpaces>181515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Yatırım Fonlarına İlişkin Rehber</dc:title>
  <dc:creator>Hasn BELBER</dc:creator>
  <cp:lastModifiedBy>Funda UYAR GENECİ</cp:lastModifiedBy>
  <cp:revision>2</cp:revision>
  <cp:lastPrinted>2014-07-07T14:03:00Z</cp:lastPrinted>
  <dcterms:created xsi:type="dcterms:W3CDTF">2023-03-21T20:02:00Z</dcterms:created>
  <dcterms:modified xsi:type="dcterms:W3CDTF">2023-03-21T20:02:00Z</dcterms:modified>
</cp:coreProperties>
</file>